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1EB56" w14:textId="77777777" w:rsidR="008926DE" w:rsidRPr="008926DE" w:rsidRDefault="002A4CC5" w:rsidP="008926DE">
      <w:pPr>
        <w:pStyle w:val="Body"/>
        <w:tabs>
          <w:tab w:val="left" w:pos="0"/>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entury Gothic" w:eastAsia="Calibri" w:hAnsi="Century Gothic" w:cs="Arial"/>
          <w:b/>
          <w:bCs/>
          <w:color w:val="00B0F0"/>
          <w:sz w:val="36"/>
          <w:szCs w:val="36"/>
          <w:lang w:val="en-ZA" w:eastAsia="en-US"/>
        </w:rPr>
      </w:pPr>
      <w:r w:rsidRPr="008926DE">
        <w:rPr>
          <w:rFonts w:ascii="Century Gothic" w:hAnsi="Century Gothic" w:cs="Arial"/>
          <w:b/>
          <w:bCs/>
          <w:color w:val="00B0F0"/>
          <w:sz w:val="20"/>
        </w:rPr>
        <w:br/>
      </w:r>
      <w:r w:rsidR="008926DE" w:rsidRPr="008926DE">
        <w:rPr>
          <w:rFonts w:ascii="Century Gothic" w:eastAsia="Calibri" w:hAnsi="Century Gothic" w:cs="Arial"/>
          <w:b/>
          <w:bCs/>
          <w:color w:val="00B0F0"/>
          <w:sz w:val="36"/>
          <w:szCs w:val="36"/>
          <w:lang w:val="en-ZA" w:eastAsia="en-US"/>
        </w:rPr>
        <w:t>IR Society Best Practice Awards - FAQs</w:t>
      </w:r>
    </w:p>
    <w:p w14:paraId="16CB2008" w14:textId="57C832B8" w:rsidR="008926DE" w:rsidRPr="008926DE" w:rsidRDefault="008926DE" w:rsidP="008926DE">
      <w:pPr>
        <w:spacing w:before="100" w:beforeAutospacing="1" w:after="100" w:afterAutospacing="1" w:line="240" w:lineRule="auto"/>
        <w:rPr>
          <w:rFonts w:ascii="Century Gothic" w:hAnsi="Century Gothic" w:cstheme="minorHAnsi"/>
          <w:color w:val="000000" w:themeColor="text1"/>
        </w:rPr>
      </w:pPr>
      <w:r w:rsidRPr="008926DE">
        <w:rPr>
          <w:rFonts w:ascii="Century Gothic" w:hAnsi="Century Gothic" w:cs="Arial"/>
          <w:b/>
          <w:bCs/>
          <w:color w:val="00B0F0"/>
          <w:sz w:val="24"/>
          <w:szCs w:val="24"/>
        </w:rPr>
        <w:t>What are the IR Society Awards?</w:t>
      </w:r>
      <w:r>
        <w:rPr>
          <w:rFonts w:ascii="Century Gothic" w:hAnsi="Century Gothic" w:cs="Arial"/>
          <w:b/>
          <w:bCs/>
          <w:color w:val="00B0F0"/>
          <w:sz w:val="24"/>
          <w:szCs w:val="24"/>
        </w:rPr>
        <w:br/>
      </w:r>
      <w:r w:rsidRPr="008926DE">
        <w:rPr>
          <w:rFonts w:ascii="Century Gothic" w:hAnsi="Century Gothic" w:cstheme="minorHAnsi"/>
          <w:color w:val="000000" w:themeColor="text1"/>
        </w:rPr>
        <w:t>The annual awards have run for two decades and are a celebration of companies that wish to demonstrate their commitment to leading investor communications. This important Society initiative is regularly reviewed by the Best Practice Committee and represents an integral part of the Society’s mandate to promote best practice in IR.</w:t>
      </w:r>
    </w:p>
    <w:p w14:paraId="3B768EA1" w14:textId="03B79E0E" w:rsidR="008926DE" w:rsidRPr="008926DE" w:rsidRDefault="008926DE" w:rsidP="008926DE">
      <w:pPr>
        <w:spacing w:before="100" w:beforeAutospacing="1" w:after="100" w:afterAutospacing="1" w:line="240" w:lineRule="auto"/>
        <w:rPr>
          <w:rFonts w:ascii="Century Gothic" w:hAnsi="Century Gothic" w:cstheme="minorHAnsi"/>
          <w:color w:val="000000" w:themeColor="text1"/>
          <w:lang w:val="en"/>
        </w:rPr>
      </w:pPr>
      <w:r w:rsidRPr="008926DE">
        <w:rPr>
          <w:rFonts w:ascii="Century Gothic" w:hAnsi="Century Gothic" w:cs="Arial"/>
          <w:b/>
          <w:bCs/>
          <w:color w:val="00B0F0"/>
          <w:sz w:val="24"/>
          <w:szCs w:val="24"/>
        </w:rPr>
        <w:t>What are the benefits and why should I enter?</w:t>
      </w:r>
      <w:r>
        <w:rPr>
          <w:rFonts w:ascii="Century Gothic" w:hAnsi="Century Gothic" w:cs="Arial"/>
          <w:b/>
          <w:bCs/>
          <w:color w:val="00B0F0"/>
          <w:sz w:val="24"/>
          <w:szCs w:val="24"/>
        </w:rPr>
        <w:br/>
      </w:r>
      <w:r w:rsidRPr="008926DE">
        <w:rPr>
          <w:rFonts w:ascii="Century Gothic" w:hAnsi="Century Gothic" w:cstheme="minorHAnsi"/>
          <w:color w:val="000000" w:themeColor="text1"/>
          <w:lang w:val="en"/>
        </w:rPr>
        <w:t>The business environment is challenging, recognition is scarce, time is short and entering our awards is an opportunity to demonstrate what a major difference each one of us can make to the companies we represent:</w:t>
      </w:r>
    </w:p>
    <w:p w14:paraId="4E4A7B46" w14:textId="77777777" w:rsidR="008926DE" w:rsidRPr="008926DE" w:rsidRDefault="008926DE" w:rsidP="008926DE">
      <w:pPr>
        <w:numPr>
          <w:ilvl w:val="0"/>
          <w:numId w:val="16"/>
        </w:numPr>
        <w:spacing w:before="100" w:beforeAutospacing="1" w:after="100" w:afterAutospacing="1" w:line="240" w:lineRule="auto"/>
        <w:rPr>
          <w:rFonts w:ascii="Century Gothic" w:hAnsi="Century Gothic" w:cstheme="minorHAnsi"/>
          <w:color w:val="000000" w:themeColor="text1"/>
          <w:lang w:val="en"/>
        </w:rPr>
      </w:pPr>
      <w:r w:rsidRPr="008926DE">
        <w:rPr>
          <w:rFonts w:ascii="Century Gothic" w:hAnsi="Century Gothic" w:cstheme="minorHAnsi"/>
          <w:color w:val="000000" w:themeColor="text1"/>
          <w:lang w:val="en"/>
        </w:rPr>
        <w:t>Evidence excellence – to win or to be shortlisted, shows that you have reached the very highest standard, as judged by leading experts</w:t>
      </w:r>
    </w:p>
    <w:p w14:paraId="1A67FC88" w14:textId="77777777" w:rsidR="008926DE" w:rsidRPr="008926DE" w:rsidRDefault="008926DE" w:rsidP="008926DE">
      <w:pPr>
        <w:numPr>
          <w:ilvl w:val="0"/>
          <w:numId w:val="16"/>
        </w:numPr>
        <w:spacing w:before="100" w:beforeAutospacing="1" w:after="100" w:afterAutospacing="1" w:line="240" w:lineRule="auto"/>
        <w:rPr>
          <w:rFonts w:ascii="Century Gothic" w:hAnsi="Century Gothic" w:cstheme="minorHAnsi"/>
          <w:color w:val="000000" w:themeColor="text1"/>
          <w:lang w:val="en"/>
        </w:rPr>
      </w:pPr>
      <w:r w:rsidRPr="008926DE">
        <w:rPr>
          <w:rFonts w:ascii="Century Gothic" w:hAnsi="Century Gothic" w:cstheme="minorHAnsi"/>
          <w:color w:val="000000" w:themeColor="text1"/>
          <w:lang w:val="en"/>
        </w:rPr>
        <w:t>Raise your profile – with your peers, internal and external stakeholders, strengthening your corporate reputation  </w:t>
      </w:r>
    </w:p>
    <w:p w14:paraId="224FA78E" w14:textId="77777777" w:rsidR="008926DE" w:rsidRPr="008926DE" w:rsidRDefault="008926DE" w:rsidP="008926DE">
      <w:pPr>
        <w:numPr>
          <w:ilvl w:val="0"/>
          <w:numId w:val="16"/>
        </w:numPr>
        <w:spacing w:before="100" w:beforeAutospacing="1" w:after="100" w:afterAutospacing="1" w:line="240" w:lineRule="auto"/>
        <w:rPr>
          <w:rFonts w:ascii="Century Gothic" w:hAnsi="Century Gothic" w:cstheme="minorHAnsi"/>
          <w:color w:val="000000" w:themeColor="text1"/>
          <w:lang w:val="en"/>
        </w:rPr>
      </w:pPr>
      <w:r w:rsidRPr="008926DE">
        <w:rPr>
          <w:rFonts w:ascii="Century Gothic" w:hAnsi="Century Gothic" w:cstheme="minorHAnsi"/>
          <w:color w:val="000000" w:themeColor="text1"/>
          <w:lang w:val="en"/>
        </w:rPr>
        <w:t>Make your company proud - it’s a great recognition for all the hard work, commitment and dedication that goes in every day </w:t>
      </w:r>
    </w:p>
    <w:p w14:paraId="64DBA443" w14:textId="77777777" w:rsidR="008926DE" w:rsidRPr="008926DE" w:rsidRDefault="008926DE" w:rsidP="008926DE">
      <w:pPr>
        <w:numPr>
          <w:ilvl w:val="0"/>
          <w:numId w:val="16"/>
        </w:numPr>
        <w:spacing w:before="100" w:beforeAutospacing="1" w:after="100" w:afterAutospacing="1" w:line="240" w:lineRule="auto"/>
        <w:rPr>
          <w:rFonts w:ascii="Century Gothic" w:hAnsi="Century Gothic" w:cstheme="minorHAnsi"/>
          <w:color w:val="000000" w:themeColor="text1"/>
          <w:lang w:val="en"/>
        </w:rPr>
      </w:pPr>
      <w:r w:rsidRPr="008926DE">
        <w:rPr>
          <w:rFonts w:ascii="Century Gothic" w:hAnsi="Century Gothic" w:cstheme="minorHAnsi"/>
          <w:color w:val="000000" w:themeColor="text1"/>
          <w:lang w:val="en"/>
        </w:rPr>
        <w:t>Reflect on your work – the process of entering the awards often helps one to understand the strengths and weaknesses of your organisation’s communications strategies and provides a springboard of ideas on what to focus on for the future</w:t>
      </w:r>
    </w:p>
    <w:p w14:paraId="59398896" w14:textId="77777777" w:rsidR="008926DE" w:rsidRPr="008926DE" w:rsidRDefault="008926DE" w:rsidP="008926DE">
      <w:pPr>
        <w:numPr>
          <w:ilvl w:val="0"/>
          <w:numId w:val="16"/>
        </w:numPr>
        <w:spacing w:before="100" w:beforeAutospacing="1" w:after="100" w:afterAutospacing="1" w:line="240" w:lineRule="auto"/>
        <w:rPr>
          <w:rFonts w:ascii="Century Gothic" w:hAnsi="Century Gothic" w:cstheme="minorHAnsi"/>
          <w:color w:val="000000" w:themeColor="text1"/>
          <w:lang w:val="en"/>
        </w:rPr>
      </w:pPr>
      <w:r w:rsidRPr="008926DE">
        <w:rPr>
          <w:rFonts w:ascii="Century Gothic" w:hAnsi="Century Gothic" w:cstheme="minorHAnsi"/>
          <w:color w:val="000000" w:themeColor="text1"/>
          <w:lang w:val="en"/>
        </w:rPr>
        <w:t>Incentive to improve - the competitive nature of the Awards provides an opportunity to challenge the internal ‘status quo’</w:t>
      </w:r>
    </w:p>
    <w:p w14:paraId="383C750C" w14:textId="7F3C88BD" w:rsidR="008926DE" w:rsidRPr="008926DE" w:rsidRDefault="008926DE" w:rsidP="008926DE">
      <w:pPr>
        <w:spacing w:before="100" w:beforeAutospacing="1" w:after="100" w:afterAutospacing="1" w:line="240" w:lineRule="auto"/>
        <w:rPr>
          <w:rFonts w:ascii="Century Gothic" w:hAnsi="Century Gothic" w:cstheme="minorHAnsi"/>
          <w:color w:val="000000" w:themeColor="text1"/>
        </w:rPr>
      </w:pPr>
      <w:r w:rsidRPr="008926DE">
        <w:rPr>
          <w:rFonts w:ascii="Century Gothic" w:hAnsi="Century Gothic" w:cs="Arial"/>
          <w:b/>
          <w:bCs/>
          <w:color w:val="00B0F0"/>
          <w:sz w:val="24"/>
          <w:szCs w:val="24"/>
        </w:rPr>
        <w:t>How many different awards are there?</w:t>
      </w:r>
      <w:r>
        <w:rPr>
          <w:rFonts w:ascii="Century Gothic" w:hAnsi="Century Gothic" w:cs="Arial"/>
          <w:b/>
          <w:bCs/>
          <w:color w:val="00B0F0"/>
          <w:sz w:val="24"/>
          <w:szCs w:val="24"/>
        </w:rPr>
        <w:br/>
      </w:r>
      <w:r w:rsidRPr="008926DE">
        <w:rPr>
          <w:rFonts w:ascii="Century Gothic" w:hAnsi="Century Gothic" w:cstheme="minorHAnsi"/>
          <w:color w:val="000000" w:themeColor="text1"/>
        </w:rPr>
        <w:t>There are up to 5</w:t>
      </w:r>
      <w:r w:rsidRPr="008926DE">
        <w:rPr>
          <w:rFonts w:ascii="Century Gothic" w:hAnsi="Century Gothic" w:cstheme="minorHAnsi"/>
          <w:i/>
          <w:color w:val="000000" w:themeColor="text1"/>
        </w:rPr>
        <w:t xml:space="preserve"> Self-entry</w:t>
      </w:r>
      <w:r w:rsidRPr="008926DE">
        <w:rPr>
          <w:rFonts w:ascii="Century Gothic" w:hAnsi="Century Gothic" w:cstheme="minorHAnsi"/>
          <w:color w:val="000000" w:themeColor="text1"/>
        </w:rPr>
        <w:t xml:space="preserve"> Award categories (see </w:t>
      </w:r>
      <w:r w:rsidRPr="008926DE">
        <w:rPr>
          <w:rFonts w:ascii="Century Gothic" w:hAnsi="Century Gothic" w:cstheme="minorHAnsi"/>
          <w:b/>
          <w:bCs/>
          <w:color w:val="000000" w:themeColor="text1"/>
        </w:rPr>
        <w:t>Appendix 1</w:t>
      </w:r>
      <w:r w:rsidRPr="008926DE">
        <w:rPr>
          <w:rFonts w:ascii="Century Gothic" w:hAnsi="Century Gothic" w:cstheme="minorHAnsi"/>
          <w:color w:val="000000" w:themeColor="text1"/>
        </w:rPr>
        <w:t xml:space="preserve"> for an overview of each Award):</w:t>
      </w:r>
    </w:p>
    <w:p w14:paraId="026320E9" w14:textId="77777777" w:rsidR="008926DE" w:rsidRPr="008926DE" w:rsidRDefault="008926DE" w:rsidP="008926DE">
      <w:pPr>
        <w:numPr>
          <w:ilvl w:val="0"/>
          <w:numId w:val="14"/>
        </w:numPr>
        <w:kinsoku w:val="0"/>
        <w:overflowPunct w:val="0"/>
        <w:spacing w:before="100" w:beforeAutospacing="1" w:after="100" w:afterAutospacing="1" w:line="240" w:lineRule="auto"/>
        <w:ind w:left="1166"/>
        <w:contextualSpacing/>
        <w:textAlignment w:val="baseline"/>
        <w:rPr>
          <w:rFonts w:ascii="Century Gothic" w:eastAsia="Times New Roman" w:hAnsi="Century Gothic" w:cstheme="minorHAnsi"/>
          <w:color w:val="000000" w:themeColor="text1"/>
          <w:lang w:eastAsia="en-GB"/>
        </w:rPr>
      </w:pPr>
      <w:r w:rsidRPr="008926DE">
        <w:rPr>
          <w:rFonts w:ascii="Century Gothic" w:eastAsia="ヒラギノ角ゴ Pro W3" w:hAnsi="Century Gothic" w:cstheme="minorHAnsi"/>
          <w:color w:val="000000" w:themeColor="text1"/>
          <w:lang w:eastAsia="en-GB"/>
        </w:rPr>
        <w:t>Most effective overall communication of company investment proposition</w:t>
      </w:r>
    </w:p>
    <w:p w14:paraId="2FF22C10" w14:textId="77777777" w:rsidR="008926DE" w:rsidRPr="008926DE" w:rsidRDefault="008926DE" w:rsidP="008926DE">
      <w:pPr>
        <w:numPr>
          <w:ilvl w:val="0"/>
          <w:numId w:val="14"/>
        </w:numPr>
        <w:kinsoku w:val="0"/>
        <w:overflowPunct w:val="0"/>
        <w:spacing w:before="100" w:beforeAutospacing="1" w:after="100" w:afterAutospacing="1" w:line="240" w:lineRule="auto"/>
        <w:ind w:left="1166"/>
        <w:contextualSpacing/>
        <w:textAlignment w:val="baseline"/>
        <w:rPr>
          <w:rFonts w:ascii="Century Gothic" w:eastAsia="Times New Roman" w:hAnsi="Century Gothic" w:cstheme="minorHAnsi"/>
          <w:color w:val="000000" w:themeColor="text1"/>
          <w:lang w:eastAsia="en-GB"/>
        </w:rPr>
      </w:pPr>
      <w:bookmarkStart w:id="0" w:name="_Hlk510604871"/>
      <w:r w:rsidRPr="008926DE">
        <w:rPr>
          <w:rFonts w:ascii="Century Gothic" w:eastAsia="ヒラギノ角ゴ Pro W3" w:hAnsi="Century Gothic" w:cstheme="minorHAnsi"/>
          <w:color w:val="000000" w:themeColor="text1"/>
          <w:lang w:eastAsia="en-GB"/>
        </w:rPr>
        <w:t xml:space="preserve">Best communications of ESG </w:t>
      </w:r>
      <w:bookmarkEnd w:id="0"/>
    </w:p>
    <w:p w14:paraId="78913C1A" w14:textId="77777777" w:rsidR="008926DE" w:rsidRPr="008926DE" w:rsidRDefault="008926DE" w:rsidP="008926DE">
      <w:pPr>
        <w:numPr>
          <w:ilvl w:val="0"/>
          <w:numId w:val="14"/>
        </w:numPr>
        <w:kinsoku w:val="0"/>
        <w:overflowPunct w:val="0"/>
        <w:spacing w:before="100" w:beforeAutospacing="1" w:after="100" w:afterAutospacing="1" w:line="240" w:lineRule="auto"/>
        <w:ind w:left="1166"/>
        <w:contextualSpacing/>
        <w:textAlignment w:val="baseline"/>
        <w:rPr>
          <w:rFonts w:ascii="Century Gothic" w:eastAsia="Times New Roman" w:hAnsi="Century Gothic" w:cstheme="minorHAnsi"/>
          <w:color w:val="000000" w:themeColor="text1"/>
          <w:lang w:eastAsia="en-GB"/>
        </w:rPr>
      </w:pPr>
      <w:r w:rsidRPr="008926DE">
        <w:rPr>
          <w:rFonts w:ascii="Century Gothic" w:eastAsia="ヒラギノ角ゴ Pro W3" w:hAnsi="Century Gothic" w:cstheme="minorHAnsi"/>
          <w:color w:val="000000" w:themeColor="text1"/>
          <w:lang w:eastAsia="en-GB"/>
        </w:rPr>
        <w:t xml:space="preserve">Most effective use of digital communications  </w:t>
      </w:r>
    </w:p>
    <w:p w14:paraId="76BB9D90" w14:textId="77777777" w:rsidR="008926DE" w:rsidRPr="008926DE" w:rsidRDefault="008926DE" w:rsidP="008926DE">
      <w:pPr>
        <w:numPr>
          <w:ilvl w:val="0"/>
          <w:numId w:val="14"/>
        </w:numPr>
        <w:kinsoku w:val="0"/>
        <w:overflowPunct w:val="0"/>
        <w:spacing w:before="100" w:beforeAutospacing="1" w:after="100" w:afterAutospacing="1" w:line="240" w:lineRule="auto"/>
        <w:ind w:left="1166"/>
        <w:contextualSpacing/>
        <w:textAlignment w:val="baseline"/>
        <w:rPr>
          <w:rFonts w:ascii="Century Gothic" w:eastAsia="Times New Roman" w:hAnsi="Century Gothic" w:cstheme="minorHAnsi"/>
          <w:color w:val="000000" w:themeColor="text1"/>
          <w:lang w:eastAsia="en-GB"/>
        </w:rPr>
      </w:pPr>
      <w:r w:rsidRPr="008926DE">
        <w:rPr>
          <w:rFonts w:ascii="Century Gothic" w:eastAsia="ヒラギノ角ゴ Pro W3" w:hAnsi="Century Gothic" w:cstheme="minorHAnsi"/>
          <w:color w:val="000000" w:themeColor="text1"/>
          <w:lang w:eastAsia="en-GB"/>
        </w:rPr>
        <w:t>Best IR relating to a corporate transaction</w:t>
      </w:r>
    </w:p>
    <w:p w14:paraId="1698A1B7" w14:textId="77777777" w:rsidR="008926DE" w:rsidRPr="008926DE" w:rsidRDefault="008926DE" w:rsidP="008926DE">
      <w:pPr>
        <w:numPr>
          <w:ilvl w:val="0"/>
          <w:numId w:val="14"/>
        </w:numPr>
        <w:kinsoku w:val="0"/>
        <w:overflowPunct w:val="0"/>
        <w:spacing w:before="100" w:beforeAutospacing="1" w:after="100" w:afterAutospacing="1" w:line="240" w:lineRule="auto"/>
        <w:ind w:left="1166"/>
        <w:contextualSpacing/>
        <w:textAlignment w:val="baseline"/>
        <w:rPr>
          <w:rFonts w:ascii="Century Gothic" w:eastAsia="Times New Roman" w:hAnsi="Century Gothic" w:cstheme="minorHAnsi"/>
          <w:color w:val="000000" w:themeColor="text1"/>
          <w:lang w:eastAsia="en-GB"/>
        </w:rPr>
      </w:pPr>
      <w:r w:rsidRPr="008926DE">
        <w:rPr>
          <w:rFonts w:ascii="Century Gothic" w:eastAsia="ヒラギノ角ゴ Pro W3" w:hAnsi="Century Gothic" w:cstheme="minorHAnsi"/>
          <w:color w:val="000000" w:themeColor="text1"/>
          <w:lang w:eastAsia="en-GB"/>
        </w:rPr>
        <w:t xml:space="preserve">Best annual report  </w:t>
      </w:r>
    </w:p>
    <w:p w14:paraId="78809B74" w14:textId="77777777" w:rsidR="008926DE" w:rsidRPr="008926DE" w:rsidRDefault="008926DE" w:rsidP="008926DE">
      <w:pPr>
        <w:kinsoku w:val="0"/>
        <w:overflowPunct w:val="0"/>
        <w:spacing w:before="100" w:beforeAutospacing="1" w:after="100" w:afterAutospacing="1" w:line="240" w:lineRule="auto"/>
        <w:contextualSpacing/>
        <w:textAlignment w:val="baseline"/>
        <w:rPr>
          <w:rFonts w:ascii="Century Gothic" w:eastAsia="ヒラギノ角ゴ Pro W3" w:hAnsi="Century Gothic" w:cstheme="minorHAnsi"/>
          <w:b/>
          <w:bCs/>
          <w:color w:val="000000" w:themeColor="text1"/>
          <w:lang w:eastAsia="en-GB"/>
        </w:rPr>
      </w:pPr>
    </w:p>
    <w:p w14:paraId="78D8B742" w14:textId="77777777" w:rsidR="008926DE" w:rsidRPr="008926DE" w:rsidRDefault="008926DE" w:rsidP="008926DE">
      <w:pPr>
        <w:kinsoku w:val="0"/>
        <w:overflowPunct w:val="0"/>
        <w:spacing w:before="100" w:beforeAutospacing="1" w:after="100" w:afterAutospacing="1" w:line="240" w:lineRule="auto"/>
        <w:contextualSpacing/>
        <w:textAlignment w:val="baseline"/>
        <w:rPr>
          <w:rFonts w:ascii="Century Gothic" w:eastAsia="ヒラギノ角ゴ Pro W3" w:hAnsi="Century Gothic" w:cstheme="minorHAnsi"/>
          <w:bCs/>
          <w:color w:val="000000" w:themeColor="text1"/>
          <w:lang w:eastAsia="en-GB"/>
        </w:rPr>
      </w:pPr>
      <w:r w:rsidRPr="008926DE">
        <w:rPr>
          <w:rFonts w:ascii="Century Gothic" w:eastAsia="ヒラギノ角ゴ Pro W3" w:hAnsi="Century Gothic" w:cstheme="minorHAnsi"/>
          <w:bCs/>
          <w:color w:val="000000" w:themeColor="text1"/>
          <w:lang w:eastAsia="en-GB"/>
        </w:rPr>
        <w:t>There are up to 4</w:t>
      </w:r>
      <w:r w:rsidRPr="008926DE">
        <w:rPr>
          <w:rFonts w:ascii="Century Gothic" w:eastAsia="ヒラギノ角ゴ Pro W3" w:hAnsi="Century Gothic" w:cstheme="minorHAnsi"/>
          <w:bCs/>
          <w:i/>
          <w:color w:val="000000" w:themeColor="text1"/>
          <w:lang w:eastAsia="en-GB"/>
        </w:rPr>
        <w:t xml:space="preserve"> Voted</w:t>
      </w:r>
      <w:r w:rsidRPr="008926DE">
        <w:rPr>
          <w:rFonts w:ascii="Century Gothic" w:eastAsia="ヒラギノ角ゴ Pro W3" w:hAnsi="Century Gothic" w:cstheme="minorHAnsi"/>
          <w:bCs/>
          <w:color w:val="000000" w:themeColor="text1"/>
          <w:lang w:eastAsia="en-GB"/>
        </w:rPr>
        <w:t xml:space="preserve"> Award categories with input from Extel Surveys, an Institutional Investor company:</w:t>
      </w:r>
    </w:p>
    <w:p w14:paraId="2CFB6493" w14:textId="77777777" w:rsidR="008926DE" w:rsidRPr="008926DE" w:rsidRDefault="008926DE" w:rsidP="008926DE">
      <w:pPr>
        <w:kinsoku w:val="0"/>
        <w:overflowPunct w:val="0"/>
        <w:spacing w:before="100" w:beforeAutospacing="1" w:after="100" w:afterAutospacing="1" w:line="240" w:lineRule="auto"/>
        <w:contextualSpacing/>
        <w:textAlignment w:val="baseline"/>
        <w:rPr>
          <w:rFonts w:ascii="Century Gothic" w:eastAsia="ヒラギノ角ゴ Pro W3" w:hAnsi="Century Gothic" w:cstheme="minorHAnsi"/>
          <w:b/>
          <w:bCs/>
          <w:color w:val="000000" w:themeColor="text1"/>
          <w:lang w:eastAsia="en-GB"/>
        </w:rPr>
      </w:pPr>
    </w:p>
    <w:p w14:paraId="434E3025" w14:textId="77777777" w:rsidR="008926DE" w:rsidRPr="008926DE" w:rsidRDefault="008926DE" w:rsidP="008926DE">
      <w:pPr>
        <w:numPr>
          <w:ilvl w:val="0"/>
          <w:numId w:val="15"/>
        </w:numPr>
        <w:kinsoku w:val="0"/>
        <w:overflowPunct w:val="0"/>
        <w:spacing w:before="100" w:beforeAutospacing="1" w:after="100" w:afterAutospacing="1" w:line="240" w:lineRule="auto"/>
        <w:ind w:left="1166"/>
        <w:contextualSpacing/>
        <w:textAlignment w:val="baseline"/>
        <w:rPr>
          <w:rFonts w:ascii="Century Gothic" w:eastAsia="Times New Roman" w:hAnsi="Century Gothic" w:cstheme="minorHAnsi"/>
          <w:color w:val="000000" w:themeColor="text1"/>
          <w:lang w:eastAsia="en-GB"/>
        </w:rPr>
      </w:pPr>
      <w:r w:rsidRPr="008926DE">
        <w:rPr>
          <w:rFonts w:ascii="Century Gothic" w:eastAsia="ヒラギノ角ゴ Pro W3" w:hAnsi="Century Gothic" w:cstheme="minorHAnsi"/>
          <w:color w:val="000000" w:themeColor="text1"/>
          <w:lang w:eastAsia="en-GB"/>
        </w:rPr>
        <w:t>Best newcomer to IR (individual)</w:t>
      </w:r>
    </w:p>
    <w:p w14:paraId="2999E5FE" w14:textId="77777777" w:rsidR="008926DE" w:rsidRPr="008926DE" w:rsidRDefault="008926DE" w:rsidP="008926DE">
      <w:pPr>
        <w:numPr>
          <w:ilvl w:val="0"/>
          <w:numId w:val="15"/>
        </w:numPr>
        <w:kinsoku w:val="0"/>
        <w:overflowPunct w:val="0"/>
        <w:spacing w:before="100" w:beforeAutospacing="1" w:after="100" w:afterAutospacing="1" w:line="240" w:lineRule="auto"/>
        <w:ind w:left="1166"/>
        <w:contextualSpacing/>
        <w:textAlignment w:val="baseline"/>
        <w:rPr>
          <w:rFonts w:ascii="Century Gothic" w:eastAsia="Times New Roman" w:hAnsi="Century Gothic" w:cstheme="minorHAnsi"/>
          <w:color w:val="000000" w:themeColor="text1"/>
          <w:lang w:eastAsia="en-GB"/>
        </w:rPr>
      </w:pPr>
      <w:r w:rsidRPr="008926DE">
        <w:rPr>
          <w:rFonts w:ascii="Century Gothic" w:eastAsia="ヒラギノ角ゴ Pro W3" w:hAnsi="Century Gothic" w:cstheme="minorHAnsi"/>
          <w:color w:val="000000" w:themeColor="text1"/>
          <w:lang w:eastAsia="en-GB"/>
        </w:rPr>
        <w:t>Best investor relations officer (individual)</w:t>
      </w:r>
    </w:p>
    <w:p w14:paraId="1018FFFE" w14:textId="77777777" w:rsidR="008926DE" w:rsidRPr="008926DE" w:rsidRDefault="008926DE" w:rsidP="008926DE">
      <w:pPr>
        <w:numPr>
          <w:ilvl w:val="0"/>
          <w:numId w:val="15"/>
        </w:numPr>
        <w:kinsoku w:val="0"/>
        <w:overflowPunct w:val="0"/>
        <w:spacing w:before="100" w:beforeAutospacing="1" w:after="100" w:afterAutospacing="1" w:line="240" w:lineRule="auto"/>
        <w:ind w:left="1166"/>
        <w:contextualSpacing/>
        <w:textAlignment w:val="baseline"/>
        <w:rPr>
          <w:rFonts w:ascii="Century Gothic" w:eastAsia="Times New Roman" w:hAnsi="Century Gothic" w:cstheme="minorHAnsi"/>
          <w:color w:val="000000" w:themeColor="text1"/>
          <w:lang w:eastAsia="en-GB"/>
        </w:rPr>
      </w:pPr>
      <w:r w:rsidRPr="008926DE">
        <w:rPr>
          <w:rFonts w:ascii="Century Gothic" w:eastAsia="ヒラギノ角ゴ Pro W3" w:hAnsi="Century Gothic" w:cstheme="minorHAnsi"/>
          <w:color w:val="000000" w:themeColor="text1"/>
          <w:lang w:eastAsia="en-GB"/>
        </w:rPr>
        <w:t>Best overall company IR (company)</w:t>
      </w:r>
    </w:p>
    <w:p w14:paraId="2A216806" w14:textId="77777777" w:rsidR="008926DE" w:rsidRPr="008926DE" w:rsidRDefault="008926DE" w:rsidP="008926DE">
      <w:pPr>
        <w:numPr>
          <w:ilvl w:val="0"/>
          <w:numId w:val="15"/>
        </w:numPr>
        <w:kinsoku w:val="0"/>
        <w:overflowPunct w:val="0"/>
        <w:spacing w:before="100" w:beforeAutospacing="1" w:after="100" w:afterAutospacing="1" w:line="240" w:lineRule="auto"/>
        <w:ind w:left="1166"/>
        <w:contextualSpacing/>
        <w:textAlignment w:val="baseline"/>
        <w:rPr>
          <w:rFonts w:ascii="Century Gothic" w:eastAsia="Times New Roman" w:hAnsi="Century Gothic" w:cstheme="minorHAnsi"/>
          <w:color w:val="000000" w:themeColor="text1"/>
          <w:lang w:eastAsia="en-GB"/>
        </w:rPr>
      </w:pPr>
      <w:r w:rsidRPr="008926DE">
        <w:rPr>
          <w:rFonts w:ascii="Century Gothic" w:eastAsia="ヒラギノ角ゴ Pro W3" w:hAnsi="Century Gothic" w:cstheme="minorHAnsi"/>
          <w:color w:val="000000" w:themeColor="text1"/>
          <w:lang w:eastAsia="en-GB"/>
        </w:rPr>
        <w:t xml:space="preserve">Best investor engagement (Buy-side firm) </w:t>
      </w:r>
    </w:p>
    <w:p w14:paraId="4ED701C4" w14:textId="2A2343D8" w:rsidR="008926DE" w:rsidRPr="008926DE" w:rsidRDefault="008926DE" w:rsidP="008926DE">
      <w:pPr>
        <w:spacing w:before="100" w:beforeAutospacing="1" w:after="100" w:afterAutospacing="1" w:line="240" w:lineRule="auto"/>
        <w:rPr>
          <w:rFonts w:ascii="Century Gothic" w:hAnsi="Century Gothic" w:cstheme="minorHAnsi"/>
          <w:color w:val="000000" w:themeColor="text1"/>
        </w:rPr>
      </w:pPr>
      <w:r>
        <w:rPr>
          <w:rFonts w:ascii="Century Gothic" w:hAnsi="Century Gothic" w:cs="Arial"/>
          <w:b/>
          <w:bCs/>
          <w:color w:val="00B0F0"/>
          <w:sz w:val="24"/>
          <w:szCs w:val="24"/>
        </w:rPr>
        <w:lastRenderedPageBreak/>
        <w:br/>
      </w:r>
      <w:r w:rsidRPr="008926DE">
        <w:rPr>
          <w:rFonts w:ascii="Century Gothic" w:hAnsi="Century Gothic" w:cs="Arial"/>
          <w:b/>
          <w:bCs/>
          <w:color w:val="00B0F0"/>
          <w:sz w:val="24"/>
          <w:szCs w:val="24"/>
        </w:rPr>
        <w:t>Who can enter?</w:t>
      </w:r>
      <w:r>
        <w:rPr>
          <w:rFonts w:ascii="Century Gothic" w:hAnsi="Century Gothic" w:cs="Arial"/>
          <w:b/>
          <w:bCs/>
          <w:color w:val="00B0F0"/>
          <w:sz w:val="24"/>
          <w:szCs w:val="24"/>
        </w:rPr>
        <w:br/>
      </w:r>
      <w:r w:rsidRPr="008926DE">
        <w:rPr>
          <w:rFonts w:ascii="Century Gothic" w:hAnsi="Century Gothic" w:cstheme="minorHAnsi"/>
          <w:color w:val="000000" w:themeColor="text1"/>
        </w:rPr>
        <w:t>The awards are open to all companies under 5 main categories for the Self-entry Awards, including: FTSE 100; FTSE 250; Small cap &amp; AIM; and International. These companies must be quoted on a recognised stock exchange.</w:t>
      </w:r>
    </w:p>
    <w:p w14:paraId="1E9EBEB9" w14:textId="4A1C90F8" w:rsidR="008926DE" w:rsidRPr="008926DE" w:rsidRDefault="008926DE" w:rsidP="008926DE">
      <w:pPr>
        <w:spacing w:before="100" w:beforeAutospacing="1" w:after="100" w:afterAutospacing="1" w:line="240" w:lineRule="auto"/>
        <w:rPr>
          <w:rFonts w:ascii="Century Gothic" w:hAnsi="Century Gothic" w:cstheme="minorHAnsi"/>
          <w:color w:val="000000" w:themeColor="text1"/>
        </w:rPr>
      </w:pPr>
      <w:r w:rsidRPr="008926DE">
        <w:rPr>
          <w:rFonts w:ascii="Century Gothic" w:hAnsi="Century Gothic" w:cs="Arial"/>
          <w:b/>
          <w:bCs/>
          <w:color w:val="00B0F0"/>
          <w:sz w:val="24"/>
          <w:szCs w:val="24"/>
        </w:rPr>
        <w:t xml:space="preserve">How do I enter the </w:t>
      </w:r>
      <w:r>
        <w:rPr>
          <w:rFonts w:ascii="Century Gothic" w:hAnsi="Century Gothic" w:cs="Arial"/>
          <w:b/>
          <w:bCs/>
          <w:color w:val="00B0F0"/>
          <w:sz w:val="24"/>
          <w:szCs w:val="24"/>
        </w:rPr>
        <w:t>S</w:t>
      </w:r>
      <w:r w:rsidRPr="008926DE">
        <w:rPr>
          <w:rFonts w:ascii="Century Gothic" w:hAnsi="Century Gothic" w:cs="Arial"/>
          <w:b/>
          <w:bCs/>
          <w:color w:val="00B0F0"/>
          <w:sz w:val="24"/>
          <w:szCs w:val="24"/>
        </w:rPr>
        <w:t>elf-entry Awards and how long does it take?</w:t>
      </w:r>
      <w:r>
        <w:rPr>
          <w:rFonts w:ascii="Century Gothic" w:hAnsi="Century Gothic" w:cs="Arial"/>
          <w:b/>
          <w:bCs/>
          <w:color w:val="00B0F0"/>
          <w:sz w:val="24"/>
          <w:szCs w:val="24"/>
        </w:rPr>
        <w:br/>
      </w:r>
      <w:r w:rsidRPr="008926DE">
        <w:rPr>
          <w:rFonts w:ascii="Century Gothic" w:hAnsi="Century Gothic" w:cstheme="minorHAnsi"/>
          <w:color w:val="000000" w:themeColor="text1"/>
        </w:rPr>
        <w:t>Companies/agencies can enter as many awards as they wish. Just download and complete the self-entry form along with</w:t>
      </w:r>
      <w:r w:rsidRPr="008926DE">
        <w:rPr>
          <w:rFonts w:ascii="Century Gothic" w:hAnsi="Century Gothic" w:cstheme="minorHAnsi"/>
          <w:color w:val="000000" w:themeColor="text1"/>
          <w:lang w:val="en-US"/>
        </w:rPr>
        <w:t xml:space="preserve"> the relevant guidance notes for each award you wish to enter. </w:t>
      </w:r>
      <w:r w:rsidRPr="008926DE">
        <w:rPr>
          <w:rFonts w:ascii="Century Gothic" w:hAnsi="Century Gothic" w:cstheme="minorHAnsi"/>
          <w:color w:val="000000" w:themeColor="text1"/>
        </w:rPr>
        <w:t xml:space="preserve">This year we have changed the process for our self-entry awards and introduced an easy-to-use Q&amp;A entry form in place of the previous essay-style written entry statement. This gives the company an opportunity to share their approach to the award and to highlight what works for them and their audience. Potentially, this should be an important opportunity to differentiate your company and investor communications for your target audience. </w:t>
      </w:r>
    </w:p>
    <w:p w14:paraId="4B07862A" w14:textId="77777777" w:rsidR="008926DE" w:rsidRPr="008926DE" w:rsidRDefault="008926DE" w:rsidP="008926DE">
      <w:pPr>
        <w:spacing w:before="100" w:beforeAutospacing="1" w:after="100" w:afterAutospacing="1" w:line="240" w:lineRule="auto"/>
        <w:rPr>
          <w:rFonts w:ascii="Century Gothic" w:hAnsi="Century Gothic" w:cstheme="minorHAnsi"/>
          <w:color w:val="000000" w:themeColor="text1"/>
          <w:lang w:val="en-US"/>
        </w:rPr>
      </w:pPr>
      <w:r w:rsidRPr="008926DE">
        <w:rPr>
          <w:rFonts w:ascii="Century Gothic" w:hAnsi="Century Gothic" w:cstheme="minorHAnsi"/>
          <w:color w:val="000000" w:themeColor="text1"/>
        </w:rPr>
        <w:t xml:space="preserve">Once completed, your entry form can be submitted online along with </w:t>
      </w:r>
      <w:r w:rsidRPr="008926DE">
        <w:rPr>
          <w:rFonts w:ascii="Century Gothic" w:hAnsi="Century Gothic" w:cstheme="minorHAnsi"/>
          <w:color w:val="000000" w:themeColor="text1"/>
          <w:lang w:val="en-US"/>
        </w:rPr>
        <w:t xml:space="preserve">any additional supporting information and payment. All in all, your submission, including the Q&amp;A should take no more than a couple hours to complete. </w:t>
      </w:r>
    </w:p>
    <w:p w14:paraId="396D56D9" w14:textId="1F206E49" w:rsidR="008926DE" w:rsidRPr="008926DE" w:rsidRDefault="008926DE" w:rsidP="008926DE">
      <w:pPr>
        <w:spacing w:before="100" w:beforeAutospacing="1" w:after="100" w:afterAutospacing="1" w:line="240" w:lineRule="auto"/>
        <w:rPr>
          <w:rFonts w:ascii="Century Gothic" w:hAnsi="Century Gothic" w:cstheme="minorHAnsi"/>
          <w:color w:val="000000" w:themeColor="text1"/>
        </w:rPr>
      </w:pPr>
      <w:r w:rsidRPr="008926DE">
        <w:rPr>
          <w:rFonts w:ascii="Century Gothic" w:hAnsi="Century Gothic" w:cs="Arial"/>
          <w:b/>
          <w:bCs/>
          <w:color w:val="00B0F0"/>
          <w:sz w:val="24"/>
          <w:szCs w:val="24"/>
        </w:rPr>
        <w:t>What is the difference between the Self-entry awards and the Voted Awards?</w:t>
      </w:r>
      <w:r>
        <w:rPr>
          <w:rFonts w:ascii="Century Gothic" w:hAnsi="Century Gothic" w:cs="Arial"/>
          <w:b/>
          <w:bCs/>
          <w:color w:val="00B0F0"/>
          <w:sz w:val="24"/>
          <w:szCs w:val="24"/>
        </w:rPr>
        <w:br/>
      </w:r>
      <w:r w:rsidRPr="008926DE">
        <w:rPr>
          <w:rFonts w:ascii="Century Gothic" w:hAnsi="Century Gothic" w:cstheme="minorHAnsi"/>
          <w:color w:val="000000" w:themeColor="text1"/>
        </w:rPr>
        <w:t>The Self-entry Awards require a company and/or its agency to submit an entry on the prescribed Q&amp;A entry form provided by the IR Society. This information can all be found online on the IR Society website: www.irsociety.org.uk</w:t>
      </w:r>
    </w:p>
    <w:p w14:paraId="32A9A5D0" w14:textId="77777777" w:rsidR="008926DE" w:rsidRPr="008926DE" w:rsidRDefault="008926DE" w:rsidP="008926DE">
      <w:pPr>
        <w:spacing w:before="100" w:beforeAutospacing="1" w:after="100" w:afterAutospacing="1" w:line="240" w:lineRule="auto"/>
        <w:rPr>
          <w:rFonts w:ascii="Century Gothic" w:hAnsi="Century Gothic" w:cstheme="minorHAnsi"/>
          <w:color w:val="000000" w:themeColor="text1"/>
        </w:rPr>
      </w:pPr>
      <w:r w:rsidRPr="008926DE">
        <w:rPr>
          <w:rFonts w:ascii="Century Gothic" w:hAnsi="Century Gothic" w:cstheme="minorHAnsi"/>
          <w:color w:val="000000" w:themeColor="text1"/>
        </w:rPr>
        <w:t xml:space="preserve">The Voted Awards, run in partnership with Extel Surveys, generally address a large buy- and sell-side audience who vote for their preferred companies/IROs under each category. Alongside the Extel Surveys voting process, nominations can be submitted by a company and/or anyone else in line for consideration. Any nominations will be combined into the Extel Surveys voting process, from which a short list (ranked by number of votes) of candidates will be drawn up. The winner for each category will be determined by the most number of votes. </w:t>
      </w:r>
    </w:p>
    <w:p w14:paraId="238E0295" w14:textId="6870FFC3" w:rsidR="008926DE" w:rsidRPr="008926DE" w:rsidRDefault="008926DE" w:rsidP="008926DE">
      <w:pPr>
        <w:spacing w:before="100" w:beforeAutospacing="1" w:after="100" w:afterAutospacing="1" w:line="240" w:lineRule="auto"/>
        <w:rPr>
          <w:rFonts w:ascii="Century Gothic" w:hAnsi="Century Gothic" w:cstheme="minorHAnsi"/>
          <w:color w:val="000000" w:themeColor="text1"/>
        </w:rPr>
      </w:pPr>
      <w:r w:rsidRPr="008926DE">
        <w:rPr>
          <w:rFonts w:ascii="Century Gothic" w:hAnsi="Century Gothic" w:cs="Arial"/>
          <w:b/>
          <w:bCs/>
          <w:color w:val="00B0F0"/>
          <w:sz w:val="24"/>
          <w:szCs w:val="24"/>
        </w:rPr>
        <w:t>When do the award entries open for 2020?</w:t>
      </w:r>
      <w:r>
        <w:rPr>
          <w:rFonts w:ascii="Century Gothic" w:hAnsi="Century Gothic" w:cs="Arial"/>
          <w:b/>
          <w:bCs/>
          <w:color w:val="00B0F0"/>
          <w:sz w:val="24"/>
          <w:szCs w:val="24"/>
        </w:rPr>
        <w:br/>
      </w:r>
      <w:r w:rsidRPr="008926DE">
        <w:rPr>
          <w:rFonts w:ascii="Century Gothic" w:hAnsi="Century Gothic" w:cstheme="minorHAnsi"/>
          <w:color w:val="000000" w:themeColor="text1"/>
        </w:rPr>
        <w:t xml:space="preserve">The 2020 Best Practice Awards, both Self-entry Awards and nominations for the Voted Awards, will be launched on 01 April 2020. </w:t>
      </w:r>
    </w:p>
    <w:p w14:paraId="6EFD0E22" w14:textId="6C0181BA" w:rsidR="008926DE" w:rsidRPr="008926DE" w:rsidRDefault="008926DE" w:rsidP="008926DE">
      <w:pPr>
        <w:spacing w:before="100" w:beforeAutospacing="1" w:after="100" w:afterAutospacing="1" w:line="240" w:lineRule="auto"/>
        <w:rPr>
          <w:rFonts w:ascii="Century Gothic" w:hAnsi="Century Gothic" w:cstheme="minorHAnsi"/>
          <w:color w:val="000000" w:themeColor="text1"/>
        </w:rPr>
      </w:pPr>
      <w:r w:rsidRPr="008926DE">
        <w:rPr>
          <w:rFonts w:ascii="Century Gothic" w:hAnsi="Century Gothic" w:cs="Arial"/>
          <w:b/>
          <w:bCs/>
          <w:color w:val="00B0F0"/>
          <w:sz w:val="24"/>
          <w:szCs w:val="24"/>
        </w:rPr>
        <w:t>What is the deadline for award entries?</w:t>
      </w:r>
      <w:r>
        <w:rPr>
          <w:rFonts w:ascii="Century Gothic" w:hAnsi="Century Gothic" w:cs="Arial"/>
          <w:b/>
          <w:bCs/>
          <w:color w:val="00B0F0"/>
          <w:sz w:val="24"/>
          <w:szCs w:val="24"/>
        </w:rPr>
        <w:br/>
      </w:r>
      <w:r w:rsidRPr="008926DE">
        <w:rPr>
          <w:rFonts w:ascii="Century Gothic" w:hAnsi="Century Gothic" w:cstheme="minorHAnsi"/>
          <w:color w:val="000000" w:themeColor="text1"/>
        </w:rPr>
        <w:t>The 2020 Best Practice Voted awards nominations will close on 30 April 2020 and the Self -entry Awards entries will close on 30 June 2020.</w:t>
      </w:r>
    </w:p>
    <w:p w14:paraId="0AEEA7E4" w14:textId="2EF3D2DC" w:rsidR="008926DE" w:rsidRPr="008926DE" w:rsidRDefault="008926DE" w:rsidP="008926DE">
      <w:pPr>
        <w:spacing w:before="100" w:beforeAutospacing="1" w:after="100" w:afterAutospacing="1" w:line="240" w:lineRule="auto"/>
        <w:rPr>
          <w:rFonts w:ascii="Century Gothic" w:hAnsi="Century Gothic" w:cstheme="minorHAnsi"/>
          <w:color w:val="000000" w:themeColor="text1"/>
        </w:rPr>
      </w:pPr>
      <w:r w:rsidRPr="008926DE">
        <w:rPr>
          <w:rFonts w:ascii="Century Gothic" w:hAnsi="Century Gothic" w:cs="Arial"/>
          <w:b/>
          <w:bCs/>
          <w:color w:val="00B0F0"/>
          <w:sz w:val="24"/>
          <w:szCs w:val="24"/>
        </w:rPr>
        <w:t>When will the short lists and winners be announced?</w:t>
      </w:r>
      <w:r>
        <w:rPr>
          <w:rFonts w:ascii="Century Gothic" w:hAnsi="Century Gothic" w:cs="Arial"/>
          <w:b/>
          <w:bCs/>
          <w:color w:val="00B0F0"/>
          <w:sz w:val="24"/>
          <w:szCs w:val="24"/>
        </w:rPr>
        <w:br/>
      </w:r>
      <w:r w:rsidRPr="008926DE">
        <w:rPr>
          <w:rFonts w:ascii="Century Gothic" w:hAnsi="Century Gothic" w:cstheme="minorHAnsi"/>
          <w:color w:val="000000" w:themeColor="text1"/>
        </w:rPr>
        <w:t xml:space="preserve">The short lists for both the Self-entry and Voted awards will be announced in October, at least a month before the IR Society Annual Awards dinner, on </w:t>
      </w:r>
      <w:r w:rsidRPr="008926DE">
        <w:rPr>
          <w:rFonts w:ascii="Century Gothic" w:hAnsi="Century Gothic" w:cstheme="minorHAnsi"/>
          <w:b/>
          <w:color w:val="000000" w:themeColor="text1"/>
        </w:rPr>
        <w:t>24 November</w:t>
      </w:r>
      <w:r w:rsidRPr="008926DE">
        <w:rPr>
          <w:rFonts w:ascii="Century Gothic" w:hAnsi="Century Gothic" w:cstheme="minorHAnsi"/>
          <w:color w:val="000000" w:themeColor="text1"/>
        </w:rPr>
        <w:t>, when the winners are announced.</w:t>
      </w:r>
    </w:p>
    <w:p w14:paraId="00AB8437" w14:textId="77777777" w:rsidR="008926DE" w:rsidRPr="008926DE" w:rsidRDefault="008926DE" w:rsidP="008926DE">
      <w:pPr>
        <w:spacing w:before="100" w:beforeAutospacing="1" w:after="100" w:afterAutospacing="1" w:line="240" w:lineRule="auto"/>
        <w:rPr>
          <w:rFonts w:ascii="Century Gothic" w:hAnsi="Century Gothic" w:cstheme="minorHAnsi"/>
          <w:b/>
          <w:color w:val="000000" w:themeColor="text1"/>
        </w:rPr>
      </w:pPr>
    </w:p>
    <w:p w14:paraId="2D5FD08E" w14:textId="5107AAC9" w:rsidR="008926DE" w:rsidRPr="008926DE" w:rsidRDefault="008926DE" w:rsidP="008926DE">
      <w:pPr>
        <w:spacing w:before="100" w:beforeAutospacing="1" w:after="100" w:afterAutospacing="1" w:line="240" w:lineRule="auto"/>
        <w:rPr>
          <w:rFonts w:ascii="Century Gothic" w:hAnsi="Century Gothic" w:cstheme="minorHAnsi"/>
          <w:color w:val="000000" w:themeColor="text1"/>
        </w:rPr>
      </w:pPr>
      <w:r w:rsidRPr="008926DE">
        <w:rPr>
          <w:rFonts w:ascii="Century Gothic" w:hAnsi="Century Gothic" w:cs="Arial"/>
          <w:b/>
          <w:bCs/>
          <w:color w:val="00B0F0"/>
          <w:sz w:val="24"/>
          <w:szCs w:val="24"/>
        </w:rPr>
        <w:t>If my company is international, but listed on the UK Stock Exchange, which category should I enter for?</w:t>
      </w:r>
      <w:r>
        <w:rPr>
          <w:rFonts w:ascii="Century Gothic" w:hAnsi="Century Gothic" w:cs="Arial"/>
          <w:b/>
          <w:bCs/>
          <w:color w:val="00B0F0"/>
          <w:sz w:val="24"/>
          <w:szCs w:val="24"/>
        </w:rPr>
        <w:br/>
      </w:r>
      <w:r w:rsidRPr="008926DE">
        <w:rPr>
          <w:rFonts w:ascii="Century Gothic" w:hAnsi="Century Gothic" w:cstheme="minorHAnsi"/>
          <w:color w:val="000000" w:themeColor="text1"/>
        </w:rPr>
        <w:t>If your company is listed on the FTSE 100 or FTSE 250 index or AIM or any other UK index, then it will be entered under the relevant category for UK listed companies. If the company is not listed in the UK, then it will be entered in the international category (wherever the company is based).</w:t>
      </w:r>
    </w:p>
    <w:p w14:paraId="105C6081" w14:textId="77A4C127" w:rsidR="008926DE" w:rsidRPr="008926DE" w:rsidRDefault="008926DE" w:rsidP="008926DE">
      <w:pPr>
        <w:spacing w:before="100" w:beforeAutospacing="1" w:after="100" w:afterAutospacing="1" w:line="240" w:lineRule="auto"/>
        <w:rPr>
          <w:rFonts w:ascii="Century Gothic" w:hAnsi="Century Gothic" w:cs="Calibri"/>
        </w:rPr>
      </w:pPr>
      <w:r w:rsidRPr="008926DE">
        <w:rPr>
          <w:rFonts w:ascii="Century Gothic" w:hAnsi="Century Gothic" w:cs="Arial"/>
          <w:b/>
          <w:bCs/>
          <w:color w:val="00B0F0"/>
          <w:sz w:val="24"/>
          <w:szCs w:val="24"/>
        </w:rPr>
        <w:t>What does the judging process for the Self-entry entail? Who are the judges?</w:t>
      </w:r>
      <w:r>
        <w:rPr>
          <w:rFonts w:ascii="Century Gothic" w:hAnsi="Century Gothic" w:cs="Arial"/>
          <w:b/>
          <w:bCs/>
          <w:color w:val="00B0F0"/>
          <w:sz w:val="24"/>
          <w:szCs w:val="24"/>
        </w:rPr>
        <w:br/>
      </w:r>
      <w:r w:rsidRPr="008926DE">
        <w:rPr>
          <w:rFonts w:ascii="Century Gothic" w:hAnsi="Century Gothic" w:cstheme="minorHAnsi"/>
          <w:color w:val="000000" w:themeColor="text1"/>
        </w:rPr>
        <w:t xml:space="preserve">Entries for the Self-entry Awards are judged </w:t>
      </w:r>
      <w:r w:rsidRPr="008926DE">
        <w:rPr>
          <w:rFonts w:ascii="Century Gothic" w:hAnsi="Century Gothic" w:cs="Calibri"/>
        </w:rPr>
        <w:t xml:space="preserve">by a panel of esteemed investor relations and investment community professionals with significant expertise in the area they are judging.  </w:t>
      </w:r>
    </w:p>
    <w:p w14:paraId="42EEDDD9" w14:textId="77777777" w:rsidR="008926DE" w:rsidRPr="008926DE" w:rsidRDefault="008926DE" w:rsidP="008926DE">
      <w:pPr>
        <w:spacing w:before="100" w:beforeAutospacing="1" w:after="100" w:afterAutospacing="1" w:line="240" w:lineRule="auto"/>
        <w:rPr>
          <w:rFonts w:ascii="Century Gothic" w:hAnsi="Century Gothic" w:cstheme="minorHAnsi"/>
          <w:color w:val="000000" w:themeColor="text1"/>
        </w:rPr>
      </w:pPr>
      <w:r w:rsidRPr="008926DE">
        <w:rPr>
          <w:rFonts w:ascii="Century Gothic" w:hAnsi="Century Gothic" w:cstheme="minorHAnsi"/>
          <w:color w:val="000000" w:themeColor="text1"/>
        </w:rPr>
        <w:t>In 2019, the judging panel included industry professionals, academics, professional bodies, regulators and other interested parties who make up our IR community. We aim to add to the panel each year and a full list appears on the IR Society website.</w:t>
      </w:r>
    </w:p>
    <w:p w14:paraId="60C1B562" w14:textId="2506140C" w:rsidR="008926DE" w:rsidRPr="008926DE" w:rsidRDefault="008926DE" w:rsidP="008926DE">
      <w:pPr>
        <w:spacing w:before="100" w:beforeAutospacing="1" w:after="100" w:afterAutospacing="1" w:line="240" w:lineRule="auto"/>
        <w:rPr>
          <w:rFonts w:ascii="Century Gothic" w:hAnsi="Century Gothic" w:cstheme="minorHAnsi"/>
          <w:color w:val="000000" w:themeColor="text1"/>
        </w:rPr>
      </w:pPr>
      <w:r w:rsidRPr="008926DE">
        <w:rPr>
          <w:rFonts w:ascii="Century Gothic" w:hAnsi="Century Gothic" w:cstheme="minorHAnsi"/>
          <w:color w:val="000000" w:themeColor="text1"/>
        </w:rPr>
        <w:t xml:space="preserve">In order to short-list each Award for submission to the judging panel, all entries are scored against criteria based on the Society’s guidelines for best practice in investor communications, which can be found </w:t>
      </w:r>
      <w:hyperlink r:id="rId7" w:tgtFrame="_blank" w:history="1">
        <w:r w:rsidRPr="008422C9">
          <w:rPr>
            <w:rStyle w:val="Hyperlink"/>
            <w:rFonts w:ascii="Century Gothic" w:hAnsi="Century Gothic"/>
          </w:rPr>
          <w:t>here</w:t>
        </w:r>
      </w:hyperlink>
      <w:r w:rsidRPr="008926DE">
        <w:rPr>
          <w:rFonts w:ascii="Century Gothic" w:hAnsi="Century Gothic" w:cstheme="minorHAnsi"/>
          <w:color w:val="000000" w:themeColor="text1"/>
        </w:rPr>
        <w:t xml:space="preserve">. The scoring of entries is completed on both a qualitative and quantitative basis. </w:t>
      </w:r>
    </w:p>
    <w:p w14:paraId="02584B7E" w14:textId="77777777" w:rsidR="008926DE" w:rsidRPr="008926DE" w:rsidRDefault="008926DE" w:rsidP="008926DE">
      <w:pPr>
        <w:spacing w:before="100" w:beforeAutospacing="1" w:after="100" w:afterAutospacing="1" w:line="240" w:lineRule="auto"/>
        <w:rPr>
          <w:rFonts w:ascii="Century Gothic" w:hAnsi="Century Gothic" w:cstheme="minorHAnsi"/>
          <w:color w:val="000000" w:themeColor="text1"/>
        </w:rPr>
      </w:pPr>
      <w:r w:rsidRPr="008926DE">
        <w:rPr>
          <w:rFonts w:ascii="Century Gothic" w:hAnsi="Century Gothic" w:cstheme="minorHAnsi"/>
          <w:color w:val="000000" w:themeColor="text1"/>
        </w:rPr>
        <w:t xml:space="preserve">We also receive expert input from independent third parties, including Alliance Manchester Business School, Edinburgh University Business School and Lancaster Management School, for example, who assess the entries. </w:t>
      </w:r>
    </w:p>
    <w:p w14:paraId="23453712" w14:textId="4C9A4954" w:rsidR="008926DE" w:rsidRPr="008926DE" w:rsidRDefault="008926DE" w:rsidP="008926DE">
      <w:pPr>
        <w:spacing w:before="100" w:beforeAutospacing="1" w:after="100" w:afterAutospacing="1" w:line="240" w:lineRule="auto"/>
        <w:rPr>
          <w:rFonts w:ascii="Century Gothic" w:hAnsi="Century Gothic" w:cstheme="minorHAnsi"/>
          <w:b/>
          <w:color w:val="000000" w:themeColor="text1"/>
        </w:rPr>
      </w:pPr>
      <w:r w:rsidRPr="008926DE">
        <w:rPr>
          <w:rFonts w:ascii="Century Gothic" w:hAnsi="Century Gothic" w:cs="Arial"/>
          <w:b/>
          <w:bCs/>
          <w:color w:val="00B0F0"/>
          <w:sz w:val="24"/>
          <w:szCs w:val="24"/>
        </w:rPr>
        <w:t>What if my company’s annual report isn’t published until after the deadline – am I</w:t>
      </w:r>
      <w:r w:rsidRPr="008926DE">
        <w:rPr>
          <w:rFonts w:ascii="Century Gothic" w:hAnsi="Century Gothic" w:cstheme="minorHAnsi"/>
          <w:b/>
          <w:color w:val="000000" w:themeColor="text1"/>
        </w:rPr>
        <w:t xml:space="preserve"> </w:t>
      </w:r>
      <w:r w:rsidRPr="008926DE">
        <w:rPr>
          <w:rFonts w:ascii="Century Gothic" w:hAnsi="Century Gothic" w:cs="Arial"/>
          <w:b/>
          <w:bCs/>
          <w:color w:val="00B0F0"/>
          <w:sz w:val="24"/>
          <w:szCs w:val="24"/>
        </w:rPr>
        <w:t>eligible to enter?</w:t>
      </w:r>
      <w:r>
        <w:rPr>
          <w:rFonts w:ascii="Century Gothic" w:hAnsi="Century Gothic" w:cs="Arial"/>
          <w:b/>
          <w:bCs/>
          <w:color w:val="00B0F0"/>
          <w:sz w:val="24"/>
          <w:szCs w:val="24"/>
        </w:rPr>
        <w:br/>
      </w:r>
      <w:r w:rsidRPr="008926DE">
        <w:rPr>
          <w:rFonts w:ascii="Century Gothic" w:hAnsi="Century Gothic" w:cstheme="minorHAnsi"/>
          <w:color w:val="000000" w:themeColor="text1"/>
          <w:lang w:val="en-US"/>
        </w:rPr>
        <w:t xml:space="preserve">All entries need to have been published before the entry deadline of 30 June 2020. Any entries for </w:t>
      </w:r>
      <w:r w:rsidRPr="008926DE">
        <w:rPr>
          <w:rFonts w:ascii="Century Gothic" w:hAnsi="Century Gothic" w:cstheme="minorHAnsi"/>
          <w:i/>
          <w:color w:val="000000" w:themeColor="text1"/>
          <w:lang w:val="en-US"/>
        </w:rPr>
        <w:t>Best Annual Report,</w:t>
      </w:r>
      <w:r w:rsidRPr="008926DE">
        <w:rPr>
          <w:rFonts w:ascii="Century Gothic" w:hAnsi="Century Gothic" w:cstheme="minorHAnsi"/>
          <w:bCs/>
          <w:i/>
          <w:color w:val="000000" w:themeColor="text1"/>
          <w:lang w:val="en-US"/>
        </w:rPr>
        <w:t xml:space="preserve"> Best Communication of ESG, and Most Effective Overall Communication of Company Investment Proposition</w:t>
      </w:r>
      <w:r w:rsidRPr="008926DE">
        <w:rPr>
          <w:rFonts w:ascii="Century Gothic" w:eastAsia="ヒラギノ角ゴ Pro W3" w:hAnsi="Century Gothic" w:cstheme="minorHAnsi"/>
          <w:i/>
          <w:color w:val="000000" w:themeColor="text1"/>
          <w:lang w:eastAsia="en-GB"/>
        </w:rPr>
        <w:t xml:space="preserve"> </w:t>
      </w:r>
      <w:r w:rsidRPr="008926DE">
        <w:rPr>
          <w:rFonts w:ascii="Century Gothic" w:hAnsi="Century Gothic" w:cstheme="minorHAnsi"/>
          <w:color w:val="000000" w:themeColor="text1"/>
          <w:lang w:val="en-US"/>
        </w:rPr>
        <w:t xml:space="preserve">should be accompanied by one printed copy of the relevant annual </w:t>
      </w:r>
      <w:r w:rsidRPr="008926DE">
        <w:rPr>
          <w:rFonts w:ascii="Century Gothic" w:hAnsi="Century Gothic" w:cstheme="minorHAnsi"/>
          <w:color w:val="000000" w:themeColor="text1"/>
        </w:rPr>
        <w:t>report and any other supporting documentation by 30 June 2020. If you have delivered a digital-first report, you may also enter this for consideration – please highlight the URL for judges to consider.</w:t>
      </w:r>
      <w:r w:rsidRPr="008926DE">
        <w:rPr>
          <w:rFonts w:ascii="Century Gothic" w:hAnsi="Century Gothic" w:cstheme="minorHAnsi"/>
          <w:b/>
          <w:color w:val="000000" w:themeColor="text1"/>
        </w:rPr>
        <w:t xml:space="preserve"> </w:t>
      </w:r>
      <w:r w:rsidRPr="008926DE">
        <w:rPr>
          <w:rFonts w:ascii="Century Gothic" w:hAnsi="Century Gothic" w:cstheme="minorHAnsi"/>
          <w:color w:val="000000" w:themeColor="text1"/>
        </w:rPr>
        <w:t xml:space="preserve">You can still enter even if your company’s report is inaccessible online. However, to assist with the judging process, please indicate in your entry the pages or sections of your annual report, website or investor presentations where key information is covered/ can be found, and you can specify the date when the report will go live, including, within reason, if this occurs after 30 June 2020. </w:t>
      </w:r>
    </w:p>
    <w:p w14:paraId="7A24087E" w14:textId="77777777" w:rsidR="008926DE" w:rsidRDefault="008926DE" w:rsidP="008926DE">
      <w:pPr>
        <w:spacing w:before="100" w:beforeAutospacing="1" w:after="100" w:afterAutospacing="1" w:line="240" w:lineRule="auto"/>
        <w:rPr>
          <w:rFonts w:ascii="Century Gothic" w:hAnsi="Century Gothic" w:cstheme="minorHAnsi"/>
        </w:rPr>
      </w:pPr>
      <w:r w:rsidRPr="008926DE">
        <w:rPr>
          <w:rFonts w:ascii="Century Gothic" w:hAnsi="Century Gothic" w:cs="Arial"/>
          <w:b/>
          <w:bCs/>
          <w:color w:val="00B0F0"/>
          <w:sz w:val="24"/>
          <w:szCs w:val="24"/>
        </w:rPr>
        <w:t>Have there been any changes to the Awards this year?</w:t>
      </w:r>
      <w:r>
        <w:rPr>
          <w:rFonts w:ascii="Century Gothic" w:hAnsi="Century Gothic" w:cs="Arial"/>
          <w:b/>
          <w:bCs/>
          <w:color w:val="00B0F0"/>
          <w:sz w:val="24"/>
          <w:szCs w:val="24"/>
        </w:rPr>
        <w:br/>
      </w:r>
      <w:r w:rsidRPr="008926DE">
        <w:rPr>
          <w:rFonts w:ascii="Century Gothic" w:hAnsi="Century Gothic" w:cstheme="minorHAnsi"/>
        </w:rPr>
        <w:t xml:space="preserve">Through the work of the Best Practice committee we continually review and adapt our awards criteria in line with best practice. This year we have further refined each of our five Self-entry Awards to simplify the entry process and ensure that they reflect </w:t>
      </w:r>
    </w:p>
    <w:p w14:paraId="2B115A1E" w14:textId="77777777" w:rsidR="008926DE" w:rsidRDefault="008926DE" w:rsidP="008926DE">
      <w:pPr>
        <w:spacing w:before="100" w:beforeAutospacing="1" w:after="100" w:afterAutospacing="1" w:line="240" w:lineRule="auto"/>
        <w:rPr>
          <w:rFonts w:ascii="Century Gothic" w:hAnsi="Century Gothic" w:cstheme="minorHAnsi"/>
        </w:rPr>
      </w:pPr>
    </w:p>
    <w:p w14:paraId="0F3ACB6B" w14:textId="3F8C5E45" w:rsidR="008926DE" w:rsidRPr="008926DE" w:rsidRDefault="008926DE" w:rsidP="008926DE">
      <w:pPr>
        <w:spacing w:before="100" w:beforeAutospacing="1" w:after="100" w:afterAutospacing="1" w:line="240" w:lineRule="auto"/>
        <w:rPr>
          <w:rFonts w:ascii="Century Gothic" w:hAnsi="Century Gothic" w:cstheme="minorHAnsi"/>
        </w:rPr>
      </w:pPr>
      <w:r w:rsidRPr="008926DE">
        <w:rPr>
          <w:rFonts w:ascii="Century Gothic" w:hAnsi="Century Gothic" w:cstheme="minorHAnsi"/>
        </w:rPr>
        <w:t xml:space="preserve">any changes in regulation and current best practice. </w:t>
      </w:r>
      <w:bookmarkStart w:id="1" w:name="_GoBack"/>
      <w:bookmarkEnd w:id="1"/>
      <w:r w:rsidR="00702CC9">
        <w:rPr>
          <w:rFonts w:ascii="Century Gothic" w:hAnsi="Century Gothic" w:cstheme="minorHAnsi"/>
        </w:rPr>
        <w:t>(</w:t>
      </w:r>
      <w:r w:rsidRPr="008926DE">
        <w:rPr>
          <w:rFonts w:ascii="Century Gothic" w:hAnsi="Century Gothic" w:cstheme="minorHAnsi"/>
        </w:rPr>
        <w:t xml:space="preserve">See </w:t>
      </w:r>
      <w:r w:rsidRPr="008926DE">
        <w:rPr>
          <w:rFonts w:ascii="Century Gothic" w:hAnsi="Century Gothic" w:cstheme="minorHAnsi"/>
          <w:b/>
          <w:bCs/>
        </w:rPr>
        <w:t>Appendix 1</w:t>
      </w:r>
      <w:r w:rsidRPr="008926DE">
        <w:rPr>
          <w:rFonts w:ascii="Century Gothic" w:hAnsi="Century Gothic" w:cstheme="minorHAnsi"/>
        </w:rPr>
        <w:t xml:space="preserve"> for an overview of each Self-entry Award) </w:t>
      </w:r>
    </w:p>
    <w:p w14:paraId="0B49CDB2" w14:textId="44989FE2" w:rsidR="008926DE" w:rsidRPr="008926DE" w:rsidRDefault="008926DE" w:rsidP="008926DE">
      <w:pPr>
        <w:spacing w:before="100" w:beforeAutospacing="1" w:after="100" w:afterAutospacing="1" w:line="240" w:lineRule="auto"/>
        <w:rPr>
          <w:rFonts w:ascii="Century Gothic" w:hAnsi="Century Gothic" w:cstheme="minorHAnsi"/>
          <w:color w:val="000000" w:themeColor="text1"/>
        </w:rPr>
      </w:pPr>
      <w:r w:rsidRPr="008926DE">
        <w:rPr>
          <w:rFonts w:ascii="Century Gothic" w:hAnsi="Century Gothic" w:cs="Arial"/>
          <w:b/>
          <w:bCs/>
          <w:color w:val="00B0F0"/>
          <w:sz w:val="24"/>
          <w:szCs w:val="24"/>
        </w:rPr>
        <w:t>What is the award for Best Investor Engagement?</w:t>
      </w:r>
      <w:r>
        <w:rPr>
          <w:rFonts w:ascii="Century Gothic" w:hAnsi="Century Gothic" w:cs="Arial"/>
          <w:b/>
          <w:bCs/>
          <w:color w:val="00B0F0"/>
          <w:sz w:val="24"/>
          <w:szCs w:val="24"/>
        </w:rPr>
        <w:br/>
      </w:r>
      <w:r w:rsidRPr="008926DE">
        <w:rPr>
          <w:rFonts w:ascii="Century Gothic" w:hAnsi="Century Gothic" w:cstheme="minorHAnsi"/>
          <w:color w:val="000000" w:themeColor="text1"/>
        </w:rPr>
        <w:t>This is under the Voted Awards and addresses the importance of the target audience that IR seeks to engage. This award will be decided by the most number of votes by Company IROs for an investor/buy-side firm that the investment community believes represents the best in investor engagement with companies. The process for nominations follows the same timeline as other Voted Awards.</w:t>
      </w:r>
    </w:p>
    <w:p w14:paraId="7FF063EC" w14:textId="42EA4036" w:rsidR="008926DE" w:rsidRPr="008926DE" w:rsidRDefault="008926DE" w:rsidP="008926DE">
      <w:pPr>
        <w:spacing w:before="100" w:beforeAutospacing="1" w:after="100" w:afterAutospacing="1" w:line="240" w:lineRule="auto"/>
        <w:rPr>
          <w:rFonts w:ascii="Century Gothic" w:hAnsi="Century Gothic" w:cstheme="minorHAnsi"/>
          <w:color w:val="000000" w:themeColor="text1"/>
        </w:rPr>
      </w:pPr>
      <w:r w:rsidRPr="008926DE">
        <w:rPr>
          <w:rFonts w:ascii="Century Gothic" w:hAnsi="Century Gothic" w:cs="Arial"/>
          <w:b/>
          <w:bCs/>
          <w:color w:val="00B0F0"/>
          <w:sz w:val="24"/>
          <w:szCs w:val="24"/>
        </w:rPr>
        <w:t xml:space="preserve">Where can I find out more information about the awards and past winners? </w:t>
      </w:r>
      <w:r>
        <w:rPr>
          <w:rFonts w:ascii="Century Gothic" w:hAnsi="Century Gothic" w:cs="Arial"/>
          <w:b/>
          <w:bCs/>
          <w:color w:val="00B0F0"/>
          <w:sz w:val="24"/>
          <w:szCs w:val="24"/>
        </w:rPr>
        <w:br/>
      </w:r>
      <w:r w:rsidRPr="008926DE">
        <w:rPr>
          <w:rFonts w:ascii="Century Gothic" w:hAnsi="Century Gothic" w:cstheme="minorHAnsi"/>
          <w:color w:val="000000" w:themeColor="text1"/>
        </w:rPr>
        <w:t xml:space="preserve">On the IR Society </w:t>
      </w:r>
      <w:hyperlink r:id="rId8" w:tgtFrame="_blank" w:history="1">
        <w:r w:rsidRPr="008422C9">
          <w:rPr>
            <w:rStyle w:val="Hyperlink"/>
            <w:rFonts w:ascii="Century Gothic" w:hAnsi="Century Gothic"/>
          </w:rPr>
          <w:t>website</w:t>
        </w:r>
      </w:hyperlink>
      <w:r w:rsidRPr="008422C9">
        <w:rPr>
          <w:rFonts w:ascii="Century Gothic" w:hAnsi="Century Gothic" w:cstheme="minorHAnsi"/>
          <w:color w:val="000000" w:themeColor="text1"/>
        </w:rPr>
        <w:t>,</w:t>
      </w:r>
      <w:r w:rsidRPr="008926DE">
        <w:rPr>
          <w:rFonts w:ascii="Century Gothic" w:hAnsi="Century Gothic" w:cstheme="minorHAnsi"/>
          <w:color w:val="000000" w:themeColor="text1"/>
        </w:rPr>
        <w:t xml:space="preserve"> members can access Best Practice Guidelines, and a review of the 2019 Best Practice Awards, including a summary of the entries, names of the judging panel, key highlights and comments from the judges on the 2019 award winners. We also included a summary of feedback from the judges as part of our coverage this year. </w:t>
      </w:r>
    </w:p>
    <w:p w14:paraId="443653AA" w14:textId="1C7B51E8" w:rsidR="008926DE" w:rsidRPr="008926DE" w:rsidRDefault="008926DE" w:rsidP="008926DE">
      <w:pPr>
        <w:spacing w:before="100" w:beforeAutospacing="1" w:after="100" w:afterAutospacing="1" w:line="240" w:lineRule="auto"/>
        <w:rPr>
          <w:rFonts w:ascii="Century Gothic" w:hAnsi="Century Gothic" w:cstheme="minorHAnsi"/>
          <w:color w:val="000000" w:themeColor="text1"/>
        </w:rPr>
      </w:pPr>
      <w:r w:rsidRPr="008926DE">
        <w:rPr>
          <w:rFonts w:ascii="Century Gothic" w:hAnsi="Century Gothic" w:cstheme="minorHAnsi"/>
          <w:color w:val="000000" w:themeColor="text1"/>
        </w:rPr>
        <w:t xml:space="preserve">For more information on this year’s Best Practice awards, please do not hesitate to contact the team at the IR Society, or the </w:t>
      </w:r>
      <w:hyperlink r:id="rId9" w:tgtFrame="_blank" w:history="1">
        <w:r w:rsidRPr="008422C9">
          <w:rPr>
            <w:rStyle w:val="Hyperlink"/>
            <w:rFonts w:ascii="Century Gothic" w:hAnsi="Century Gothic" w:cstheme="minorHAnsi"/>
          </w:rPr>
          <w:t>Best Practice Committee</w:t>
        </w:r>
      </w:hyperlink>
      <w:r w:rsidRPr="008422C9">
        <w:rPr>
          <w:rFonts w:ascii="Century Gothic" w:hAnsi="Century Gothic" w:cstheme="minorHAnsi"/>
          <w:color w:val="000000" w:themeColor="text1"/>
        </w:rPr>
        <w:t>.</w:t>
      </w:r>
      <w:r w:rsidRPr="008926DE">
        <w:rPr>
          <w:rFonts w:ascii="Century Gothic" w:hAnsi="Century Gothic" w:cstheme="minorHAnsi"/>
          <w:color w:val="000000" w:themeColor="text1"/>
        </w:rPr>
        <w:t xml:space="preserve"> </w:t>
      </w:r>
    </w:p>
    <w:p w14:paraId="3D9B24E9" w14:textId="5D10BF64" w:rsidR="008926DE" w:rsidRPr="008926DE" w:rsidRDefault="008926DE" w:rsidP="008926DE">
      <w:pPr>
        <w:spacing w:before="100" w:beforeAutospacing="1" w:after="100" w:afterAutospacing="1" w:line="240" w:lineRule="auto"/>
        <w:rPr>
          <w:rFonts w:ascii="Century Gothic" w:hAnsi="Century Gothic" w:cstheme="minorHAnsi"/>
          <w:color w:val="000000" w:themeColor="text1"/>
        </w:rPr>
      </w:pPr>
      <w:r w:rsidRPr="008926DE">
        <w:rPr>
          <w:rFonts w:ascii="Century Gothic" w:hAnsi="Century Gothic" w:cs="Arial"/>
          <w:b/>
          <w:bCs/>
          <w:color w:val="00B0F0"/>
          <w:sz w:val="24"/>
          <w:szCs w:val="24"/>
        </w:rPr>
        <w:t>Any other enquiries?</w:t>
      </w:r>
      <w:r w:rsidR="008422C9">
        <w:rPr>
          <w:rFonts w:ascii="Century Gothic" w:hAnsi="Century Gothic" w:cs="Arial"/>
          <w:b/>
          <w:bCs/>
          <w:color w:val="00B0F0"/>
          <w:sz w:val="24"/>
          <w:szCs w:val="24"/>
        </w:rPr>
        <w:br/>
      </w:r>
      <w:r w:rsidRPr="008926DE">
        <w:rPr>
          <w:rFonts w:ascii="Century Gothic" w:hAnsi="Century Gothic" w:cstheme="minorHAnsi"/>
          <w:color w:val="000000" w:themeColor="text1"/>
        </w:rPr>
        <w:t>Do please get in touch with the team at the IR Society:</w:t>
      </w:r>
    </w:p>
    <w:p w14:paraId="03E3E4C7" w14:textId="77777777" w:rsidR="008926DE" w:rsidRPr="008926DE" w:rsidRDefault="008926DE" w:rsidP="008926DE">
      <w:pPr>
        <w:spacing w:before="100" w:beforeAutospacing="1" w:after="100" w:afterAutospacing="1" w:line="240" w:lineRule="auto"/>
        <w:rPr>
          <w:rStyle w:val="Hyperlink"/>
          <w:rFonts w:ascii="Century Gothic" w:hAnsi="Century Gothic" w:cstheme="minorHAnsi"/>
        </w:rPr>
      </w:pPr>
      <w:r w:rsidRPr="008926DE">
        <w:rPr>
          <w:rFonts w:ascii="Century Gothic" w:hAnsi="Century Gothic" w:cstheme="minorHAnsi"/>
        </w:rPr>
        <w:t xml:space="preserve">Kate Heseltine: </w:t>
      </w:r>
      <w:hyperlink r:id="rId10" w:history="1">
        <w:r w:rsidRPr="008926DE">
          <w:rPr>
            <w:rStyle w:val="Hyperlink"/>
            <w:rFonts w:ascii="Century Gothic" w:hAnsi="Century Gothic" w:cstheme="minorHAnsi"/>
          </w:rPr>
          <w:t>kate.heseltine@irsociety.org.uk</w:t>
        </w:r>
      </w:hyperlink>
      <w:r w:rsidRPr="008926DE">
        <w:rPr>
          <w:rStyle w:val="Hyperlink"/>
          <w:rFonts w:ascii="Century Gothic" w:hAnsi="Century Gothic" w:cstheme="minorHAnsi"/>
        </w:rPr>
        <w:t xml:space="preserve"> </w:t>
      </w:r>
    </w:p>
    <w:p w14:paraId="58CC4982" w14:textId="77777777" w:rsidR="008926DE" w:rsidRPr="008926DE" w:rsidRDefault="008926DE" w:rsidP="008926DE">
      <w:pPr>
        <w:spacing w:before="100" w:beforeAutospacing="1" w:after="100" w:afterAutospacing="1" w:line="240" w:lineRule="auto"/>
        <w:rPr>
          <w:rFonts w:ascii="Century Gothic" w:hAnsi="Century Gothic" w:cstheme="minorHAnsi"/>
        </w:rPr>
      </w:pPr>
    </w:p>
    <w:p w14:paraId="302CE84E" w14:textId="77777777" w:rsidR="008926DE" w:rsidRPr="008926DE" w:rsidRDefault="008926DE" w:rsidP="008926DE">
      <w:pPr>
        <w:spacing w:before="100" w:beforeAutospacing="1" w:after="100" w:afterAutospacing="1" w:line="240" w:lineRule="auto"/>
        <w:rPr>
          <w:rFonts w:ascii="Century Gothic" w:hAnsi="Century Gothic" w:cstheme="minorHAnsi"/>
        </w:rPr>
      </w:pPr>
    </w:p>
    <w:p w14:paraId="219C5253" w14:textId="77777777" w:rsidR="00FF2CF9" w:rsidRDefault="00FF2CF9">
      <w:pPr>
        <w:spacing w:after="0" w:line="240" w:lineRule="auto"/>
        <w:rPr>
          <w:rFonts w:ascii="Century Gothic" w:hAnsi="Century Gothic" w:cs="Arial"/>
          <w:b/>
          <w:bCs/>
          <w:color w:val="00B0F0"/>
          <w:sz w:val="36"/>
          <w:szCs w:val="36"/>
        </w:rPr>
      </w:pPr>
      <w:r>
        <w:rPr>
          <w:rFonts w:ascii="Century Gothic" w:hAnsi="Century Gothic" w:cs="Arial"/>
          <w:b/>
          <w:bCs/>
          <w:color w:val="00B0F0"/>
          <w:sz w:val="36"/>
          <w:szCs w:val="36"/>
        </w:rPr>
        <w:br w:type="page"/>
      </w:r>
    </w:p>
    <w:p w14:paraId="2A379A38" w14:textId="77777777" w:rsidR="00FF2CF9" w:rsidRDefault="00FF2CF9" w:rsidP="008926DE">
      <w:pPr>
        <w:spacing w:before="100" w:beforeAutospacing="1" w:after="100" w:afterAutospacing="1" w:line="240" w:lineRule="auto"/>
        <w:rPr>
          <w:rFonts w:ascii="Century Gothic" w:hAnsi="Century Gothic" w:cs="Arial"/>
          <w:b/>
          <w:bCs/>
          <w:color w:val="00B0F0"/>
          <w:sz w:val="36"/>
          <w:szCs w:val="36"/>
        </w:rPr>
      </w:pPr>
    </w:p>
    <w:p w14:paraId="3C80DCC1" w14:textId="050EF773" w:rsidR="008926DE" w:rsidRPr="008926DE" w:rsidRDefault="008926DE" w:rsidP="008926DE">
      <w:pPr>
        <w:spacing w:before="100" w:beforeAutospacing="1" w:after="100" w:afterAutospacing="1" w:line="240" w:lineRule="auto"/>
        <w:rPr>
          <w:rFonts w:ascii="Century Gothic" w:hAnsi="Century Gothic" w:cs="Arial"/>
          <w:b/>
          <w:bCs/>
          <w:color w:val="00B0F0"/>
          <w:sz w:val="36"/>
          <w:szCs w:val="36"/>
        </w:rPr>
      </w:pPr>
      <w:r w:rsidRPr="008926DE">
        <w:rPr>
          <w:rFonts w:ascii="Century Gothic" w:hAnsi="Century Gothic" w:cs="Arial"/>
          <w:b/>
          <w:bCs/>
          <w:color w:val="00B0F0"/>
          <w:sz w:val="36"/>
          <w:szCs w:val="36"/>
        </w:rPr>
        <w:t>Appendix 1: Overview of Self-entry Awards</w:t>
      </w:r>
    </w:p>
    <w:p w14:paraId="36A1A31E" w14:textId="77777777" w:rsidR="008926DE" w:rsidRPr="008926DE" w:rsidRDefault="008926DE" w:rsidP="008926DE">
      <w:pPr>
        <w:pStyle w:val="NoSpacing"/>
        <w:rPr>
          <w:rFonts w:ascii="Century Gothic" w:eastAsia="Calibri" w:hAnsi="Century Gothic" w:cs="Arial"/>
          <w:b/>
          <w:bCs/>
          <w:i/>
          <w:iCs/>
          <w:color w:val="00B0F0"/>
          <w:sz w:val="24"/>
          <w:szCs w:val="24"/>
          <w:lang w:val="en-ZA"/>
        </w:rPr>
      </w:pPr>
      <w:r w:rsidRPr="008926DE">
        <w:rPr>
          <w:rFonts w:ascii="Century Gothic" w:eastAsia="Calibri" w:hAnsi="Century Gothic" w:cs="Arial"/>
          <w:b/>
          <w:bCs/>
          <w:i/>
          <w:iCs/>
          <w:color w:val="00B0F0"/>
          <w:sz w:val="24"/>
          <w:szCs w:val="24"/>
          <w:lang w:val="en-ZA"/>
        </w:rPr>
        <w:t>Most effective overall communication of company investment proposition</w:t>
      </w:r>
    </w:p>
    <w:p w14:paraId="71FB88EB" w14:textId="77777777" w:rsidR="008926DE" w:rsidRPr="008926DE" w:rsidRDefault="008926DE" w:rsidP="008926DE">
      <w:pPr>
        <w:pStyle w:val="NoSpacing"/>
        <w:rPr>
          <w:rFonts w:ascii="Century Gothic" w:hAnsi="Century Gothic"/>
        </w:rPr>
      </w:pPr>
      <w:r w:rsidRPr="008926DE">
        <w:rPr>
          <w:rFonts w:ascii="Century Gothic" w:hAnsi="Century Gothic"/>
        </w:rPr>
        <w:t>A highly compelling narrative of a company’s competitive advantage and differentiators</w:t>
      </w:r>
    </w:p>
    <w:p w14:paraId="59C08319" w14:textId="77777777" w:rsidR="008926DE" w:rsidRPr="008926DE" w:rsidRDefault="008926DE" w:rsidP="008926DE">
      <w:pPr>
        <w:numPr>
          <w:ilvl w:val="0"/>
          <w:numId w:val="17"/>
        </w:numPr>
        <w:spacing w:before="100" w:beforeAutospacing="1" w:after="100" w:afterAutospacing="1" w:line="240" w:lineRule="auto"/>
        <w:rPr>
          <w:rFonts w:ascii="Century Gothic" w:hAnsi="Century Gothic" w:cstheme="minorHAnsi"/>
        </w:rPr>
      </w:pPr>
      <w:r w:rsidRPr="008926DE">
        <w:rPr>
          <w:rFonts w:ascii="Century Gothic" w:hAnsi="Century Gothic" w:cstheme="minorHAnsi"/>
        </w:rPr>
        <w:t>Evidence of clear, concise and consistent communication of an investment proposition, considering the channels used and effectiveness of the messaging</w:t>
      </w:r>
    </w:p>
    <w:p w14:paraId="49724D4B" w14:textId="77777777" w:rsidR="008926DE" w:rsidRPr="008926DE" w:rsidRDefault="008926DE" w:rsidP="008926DE">
      <w:pPr>
        <w:numPr>
          <w:ilvl w:val="0"/>
          <w:numId w:val="17"/>
        </w:numPr>
        <w:spacing w:before="100" w:beforeAutospacing="1" w:after="100" w:afterAutospacing="1" w:line="240" w:lineRule="auto"/>
        <w:rPr>
          <w:rFonts w:ascii="Century Gothic" w:hAnsi="Century Gothic" w:cstheme="minorHAnsi"/>
        </w:rPr>
      </w:pPr>
      <w:r w:rsidRPr="008926DE">
        <w:rPr>
          <w:rFonts w:ascii="Century Gothic" w:hAnsi="Century Gothic" w:cstheme="minorHAnsi"/>
        </w:rPr>
        <w:t>Communication will focus on a number of different channels, including but not limited to the annual report, investor presentations, corporate websites, capital markets days and site visits</w:t>
      </w:r>
    </w:p>
    <w:p w14:paraId="410C0FB6" w14:textId="77777777" w:rsidR="008926DE" w:rsidRPr="008926DE" w:rsidRDefault="008926DE" w:rsidP="008926DE">
      <w:pPr>
        <w:pStyle w:val="NoSpacing"/>
        <w:rPr>
          <w:rFonts w:ascii="Century Gothic" w:eastAsia="Calibri" w:hAnsi="Century Gothic" w:cs="Arial"/>
          <w:b/>
          <w:bCs/>
          <w:i/>
          <w:iCs/>
          <w:color w:val="00B0F0"/>
          <w:sz w:val="24"/>
          <w:szCs w:val="24"/>
          <w:lang w:val="en-ZA"/>
        </w:rPr>
      </w:pPr>
      <w:r w:rsidRPr="008926DE">
        <w:rPr>
          <w:rFonts w:ascii="Century Gothic" w:eastAsia="Calibri" w:hAnsi="Century Gothic" w:cs="Arial"/>
          <w:b/>
          <w:bCs/>
          <w:i/>
          <w:iCs/>
          <w:color w:val="00B0F0"/>
          <w:sz w:val="24"/>
          <w:szCs w:val="24"/>
          <w:lang w:val="en-ZA"/>
        </w:rPr>
        <w:t>Best communication of ESG</w:t>
      </w:r>
    </w:p>
    <w:p w14:paraId="06C38E51" w14:textId="77777777" w:rsidR="008926DE" w:rsidRPr="008926DE" w:rsidRDefault="008926DE" w:rsidP="008926DE">
      <w:pPr>
        <w:pStyle w:val="NoSpacing"/>
        <w:rPr>
          <w:rFonts w:ascii="Century Gothic" w:hAnsi="Century Gothic"/>
        </w:rPr>
      </w:pPr>
      <w:r w:rsidRPr="008926DE">
        <w:rPr>
          <w:rFonts w:ascii="Century Gothic" w:hAnsi="Century Gothic"/>
        </w:rPr>
        <w:t>We recognise that this is a developing area for many companies, and each will be at different stages of their journey!</w:t>
      </w:r>
    </w:p>
    <w:p w14:paraId="17375AB2" w14:textId="77777777" w:rsidR="008926DE" w:rsidRPr="008926DE" w:rsidRDefault="008926DE" w:rsidP="008926DE">
      <w:pPr>
        <w:numPr>
          <w:ilvl w:val="0"/>
          <w:numId w:val="18"/>
        </w:numPr>
        <w:spacing w:before="100" w:beforeAutospacing="1" w:after="100" w:afterAutospacing="1" w:line="240" w:lineRule="auto"/>
        <w:rPr>
          <w:rFonts w:ascii="Century Gothic" w:hAnsi="Century Gothic" w:cstheme="minorHAnsi"/>
        </w:rPr>
      </w:pPr>
      <w:r w:rsidRPr="008926DE">
        <w:rPr>
          <w:rFonts w:ascii="Century Gothic" w:hAnsi="Century Gothic" w:cstheme="minorHAnsi"/>
        </w:rPr>
        <w:t>Evidence a of year-round communication approach to investors and wider stakeholders</w:t>
      </w:r>
    </w:p>
    <w:p w14:paraId="419F2B04" w14:textId="77777777" w:rsidR="008926DE" w:rsidRPr="008926DE" w:rsidRDefault="008926DE" w:rsidP="008926DE">
      <w:pPr>
        <w:numPr>
          <w:ilvl w:val="0"/>
          <w:numId w:val="18"/>
        </w:numPr>
        <w:spacing w:before="100" w:beforeAutospacing="1" w:after="100" w:afterAutospacing="1" w:line="240" w:lineRule="auto"/>
        <w:rPr>
          <w:rFonts w:ascii="Century Gothic" w:hAnsi="Century Gothic" w:cstheme="minorHAnsi"/>
        </w:rPr>
      </w:pPr>
      <w:r w:rsidRPr="008926DE">
        <w:rPr>
          <w:rFonts w:ascii="Century Gothic" w:hAnsi="Century Gothic" w:cstheme="minorHAnsi"/>
        </w:rPr>
        <w:t>Insight into how environmental, social and governance (ESG) risks and opportunities are identified, understood and proactively managed and measured to contribute to a business' competitive advantage</w:t>
      </w:r>
    </w:p>
    <w:p w14:paraId="124215D1" w14:textId="77777777" w:rsidR="008926DE" w:rsidRPr="008926DE" w:rsidRDefault="008926DE" w:rsidP="008926DE">
      <w:pPr>
        <w:numPr>
          <w:ilvl w:val="0"/>
          <w:numId w:val="18"/>
        </w:numPr>
        <w:spacing w:before="100" w:beforeAutospacing="1" w:after="100" w:afterAutospacing="1" w:line="240" w:lineRule="auto"/>
        <w:rPr>
          <w:rFonts w:ascii="Century Gothic" w:hAnsi="Century Gothic" w:cstheme="minorHAnsi"/>
        </w:rPr>
      </w:pPr>
      <w:r w:rsidRPr="008926DE">
        <w:rPr>
          <w:rFonts w:ascii="Century Gothic" w:hAnsi="Century Gothic" w:cstheme="minorHAnsi"/>
        </w:rPr>
        <w:t>A consistent and proactive point of view on material ESG issues and long-term value creation across all communications with investors</w:t>
      </w:r>
    </w:p>
    <w:p w14:paraId="0C4BB2D8" w14:textId="77777777" w:rsidR="008926DE" w:rsidRPr="008926DE" w:rsidRDefault="008926DE" w:rsidP="008926DE">
      <w:pPr>
        <w:pStyle w:val="NoSpacing"/>
        <w:rPr>
          <w:rFonts w:ascii="Century Gothic" w:eastAsia="Calibri" w:hAnsi="Century Gothic" w:cs="Arial"/>
          <w:b/>
          <w:bCs/>
          <w:i/>
          <w:iCs/>
          <w:color w:val="00B0F0"/>
          <w:sz w:val="24"/>
          <w:szCs w:val="24"/>
          <w:lang w:val="en-ZA"/>
        </w:rPr>
      </w:pPr>
      <w:r w:rsidRPr="008926DE">
        <w:rPr>
          <w:rFonts w:ascii="Century Gothic" w:eastAsia="Calibri" w:hAnsi="Century Gothic" w:cs="Arial"/>
          <w:b/>
          <w:bCs/>
          <w:i/>
          <w:iCs/>
          <w:color w:val="00B0F0"/>
          <w:sz w:val="24"/>
          <w:szCs w:val="24"/>
          <w:lang w:val="en-ZA"/>
        </w:rPr>
        <w:t>Most effective use of digital communications</w:t>
      </w:r>
    </w:p>
    <w:p w14:paraId="4F18B99F" w14:textId="77777777" w:rsidR="008926DE" w:rsidRPr="008926DE" w:rsidRDefault="008926DE" w:rsidP="008926DE">
      <w:pPr>
        <w:pStyle w:val="NoSpacing"/>
        <w:rPr>
          <w:rFonts w:ascii="Century Gothic" w:hAnsi="Century Gothic"/>
        </w:rPr>
      </w:pPr>
      <w:r w:rsidRPr="008926DE">
        <w:rPr>
          <w:rFonts w:ascii="Century Gothic" w:hAnsi="Century Gothic"/>
        </w:rPr>
        <w:t>The integration and connectivity of digital channels is essential</w:t>
      </w:r>
    </w:p>
    <w:p w14:paraId="0295E899" w14:textId="77777777" w:rsidR="008926DE" w:rsidRPr="008926DE" w:rsidRDefault="008926DE" w:rsidP="008926DE">
      <w:pPr>
        <w:numPr>
          <w:ilvl w:val="0"/>
          <w:numId w:val="19"/>
        </w:numPr>
        <w:spacing w:before="100" w:beforeAutospacing="1" w:after="100" w:afterAutospacing="1" w:line="240" w:lineRule="auto"/>
        <w:rPr>
          <w:rFonts w:ascii="Century Gothic" w:hAnsi="Century Gothic" w:cstheme="minorHAnsi"/>
        </w:rPr>
      </w:pPr>
      <w:r w:rsidRPr="008926DE">
        <w:rPr>
          <w:rFonts w:ascii="Century Gothic" w:hAnsi="Century Gothic" w:cstheme="minorHAnsi"/>
        </w:rPr>
        <w:t xml:space="preserve">Quality, design, usability, functionality, accessibility and above all else, the content of the website and related materials will be the main areas of focus for the judges  </w:t>
      </w:r>
    </w:p>
    <w:p w14:paraId="4C08F545" w14:textId="77777777" w:rsidR="008926DE" w:rsidRPr="008926DE" w:rsidRDefault="008926DE" w:rsidP="008926DE">
      <w:pPr>
        <w:numPr>
          <w:ilvl w:val="0"/>
          <w:numId w:val="19"/>
        </w:numPr>
        <w:spacing w:before="100" w:beforeAutospacing="1" w:after="100" w:afterAutospacing="1" w:line="240" w:lineRule="auto"/>
        <w:rPr>
          <w:rFonts w:ascii="Century Gothic" w:hAnsi="Century Gothic" w:cstheme="minorHAnsi"/>
        </w:rPr>
      </w:pPr>
      <w:r w:rsidRPr="008926DE">
        <w:rPr>
          <w:rFonts w:ascii="Century Gothic" w:hAnsi="Century Gothic" w:cstheme="minorHAnsi"/>
        </w:rPr>
        <w:t xml:space="preserve">Utilising other tools in addition to the corporate website to support the IR message and equity story across these channels are important </w:t>
      </w:r>
    </w:p>
    <w:p w14:paraId="0EB6410C" w14:textId="77777777" w:rsidR="008926DE" w:rsidRPr="008926DE" w:rsidRDefault="008926DE" w:rsidP="008926DE">
      <w:pPr>
        <w:numPr>
          <w:ilvl w:val="0"/>
          <w:numId w:val="19"/>
        </w:numPr>
        <w:spacing w:before="100" w:beforeAutospacing="1" w:after="100" w:afterAutospacing="1" w:line="240" w:lineRule="auto"/>
        <w:rPr>
          <w:rFonts w:ascii="Century Gothic" w:hAnsi="Century Gothic" w:cstheme="minorHAnsi"/>
        </w:rPr>
      </w:pPr>
      <w:r w:rsidRPr="008926DE">
        <w:rPr>
          <w:rFonts w:ascii="Century Gothic" w:hAnsi="Century Gothic" w:cstheme="minorHAnsi"/>
        </w:rPr>
        <w:t>Channels can include but are not limited to social media, data visualisation, audio or video webcasting, Virtual AGM, corporate video etc</w:t>
      </w:r>
    </w:p>
    <w:p w14:paraId="00EA1FD6" w14:textId="77777777" w:rsidR="008926DE" w:rsidRPr="008926DE" w:rsidRDefault="008926DE" w:rsidP="008926DE">
      <w:pPr>
        <w:pStyle w:val="NoSpacing"/>
        <w:rPr>
          <w:rFonts w:ascii="Century Gothic" w:eastAsia="Calibri" w:hAnsi="Century Gothic" w:cs="Arial"/>
          <w:b/>
          <w:bCs/>
          <w:i/>
          <w:iCs/>
          <w:color w:val="00B0F0"/>
          <w:sz w:val="24"/>
          <w:szCs w:val="24"/>
          <w:lang w:val="en-ZA"/>
        </w:rPr>
      </w:pPr>
      <w:r w:rsidRPr="008926DE">
        <w:rPr>
          <w:rFonts w:ascii="Century Gothic" w:eastAsia="Calibri" w:hAnsi="Century Gothic" w:cs="Arial"/>
          <w:b/>
          <w:bCs/>
          <w:i/>
          <w:iCs/>
          <w:color w:val="00B0F0"/>
          <w:sz w:val="24"/>
          <w:szCs w:val="24"/>
          <w:lang w:val="en-ZA"/>
        </w:rPr>
        <w:t>Best IR Relating to a Corporate Transaction</w:t>
      </w:r>
    </w:p>
    <w:p w14:paraId="30D40A3E" w14:textId="77777777" w:rsidR="008926DE" w:rsidRPr="008926DE" w:rsidRDefault="008926DE" w:rsidP="008926DE">
      <w:pPr>
        <w:pStyle w:val="NoSpacing"/>
        <w:rPr>
          <w:rFonts w:ascii="Century Gothic" w:hAnsi="Century Gothic"/>
        </w:rPr>
      </w:pPr>
      <w:r w:rsidRPr="008926DE">
        <w:rPr>
          <w:rFonts w:ascii="Century Gothic" w:hAnsi="Century Gothic"/>
        </w:rPr>
        <w:t>Evidence of effective and successful investor relations activity relating to a corporate transaction</w:t>
      </w:r>
    </w:p>
    <w:p w14:paraId="5199BA86" w14:textId="77777777" w:rsidR="008926DE" w:rsidRPr="008926DE" w:rsidRDefault="008926DE" w:rsidP="008926DE">
      <w:pPr>
        <w:numPr>
          <w:ilvl w:val="0"/>
          <w:numId w:val="21"/>
        </w:numPr>
        <w:spacing w:before="100" w:beforeAutospacing="1" w:after="100" w:afterAutospacing="1" w:line="240" w:lineRule="auto"/>
        <w:rPr>
          <w:rFonts w:ascii="Century Gothic" w:hAnsi="Century Gothic" w:cstheme="minorHAnsi"/>
        </w:rPr>
      </w:pPr>
      <w:r w:rsidRPr="008926DE">
        <w:rPr>
          <w:rFonts w:ascii="Century Gothic" w:hAnsi="Century Gothic" w:cstheme="minorHAnsi"/>
        </w:rPr>
        <w:t>IPO, merger, significant sale or acquisition of a business, rights issue, defence</w:t>
      </w:r>
    </w:p>
    <w:p w14:paraId="6203D78A" w14:textId="77777777" w:rsidR="00FF2CF9" w:rsidRDefault="00FF2CF9" w:rsidP="00FF2CF9">
      <w:pPr>
        <w:spacing w:before="100" w:beforeAutospacing="1" w:after="100" w:afterAutospacing="1" w:line="240" w:lineRule="auto"/>
        <w:rPr>
          <w:rFonts w:ascii="Century Gothic" w:hAnsi="Century Gothic" w:cstheme="minorHAnsi"/>
        </w:rPr>
      </w:pPr>
    </w:p>
    <w:p w14:paraId="11958F65" w14:textId="204018B4" w:rsidR="008926DE" w:rsidRDefault="008926DE" w:rsidP="008926DE">
      <w:pPr>
        <w:numPr>
          <w:ilvl w:val="0"/>
          <w:numId w:val="21"/>
        </w:numPr>
        <w:spacing w:before="100" w:beforeAutospacing="1" w:after="100" w:afterAutospacing="1" w:line="240" w:lineRule="auto"/>
        <w:rPr>
          <w:rFonts w:ascii="Century Gothic" w:hAnsi="Century Gothic" w:cstheme="minorHAnsi"/>
        </w:rPr>
      </w:pPr>
      <w:r w:rsidRPr="008926DE">
        <w:rPr>
          <w:rFonts w:ascii="Century Gothic" w:hAnsi="Century Gothic" w:cstheme="minorHAnsi"/>
        </w:rPr>
        <w:t>Supporting materials may include press releases, presentations, sell-side coverage, media coverage, stakeholder feedba</w:t>
      </w:r>
      <w:r w:rsidR="00FF2CF9">
        <w:rPr>
          <w:rFonts w:ascii="Century Gothic" w:hAnsi="Century Gothic" w:cstheme="minorHAnsi"/>
        </w:rPr>
        <w:t>ck</w:t>
      </w:r>
    </w:p>
    <w:p w14:paraId="31AAD648" w14:textId="24FFC100" w:rsidR="008926DE" w:rsidRPr="008926DE" w:rsidRDefault="008926DE" w:rsidP="008926DE">
      <w:pPr>
        <w:pStyle w:val="NoSpacing"/>
        <w:rPr>
          <w:rFonts w:ascii="Century Gothic" w:eastAsia="Calibri" w:hAnsi="Century Gothic" w:cs="Arial"/>
          <w:b/>
          <w:bCs/>
          <w:i/>
          <w:iCs/>
          <w:color w:val="00B0F0"/>
          <w:sz w:val="24"/>
          <w:szCs w:val="24"/>
          <w:lang w:val="en-ZA"/>
        </w:rPr>
      </w:pPr>
      <w:r w:rsidRPr="008926DE">
        <w:rPr>
          <w:rFonts w:ascii="Century Gothic" w:eastAsia="Calibri" w:hAnsi="Century Gothic" w:cs="Arial"/>
          <w:b/>
          <w:bCs/>
          <w:i/>
          <w:iCs/>
          <w:color w:val="00B0F0"/>
          <w:sz w:val="24"/>
          <w:szCs w:val="24"/>
          <w:lang w:val="en-ZA"/>
        </w:rPr>
        <w:t>Best Annual Report</w:t>
      </w:r>
    </w:p>
    <w:p w14:paraId="01EB51AA" w14:textId="77777777" w:rsidR="008926DE" w:rsidRPr="008926DE" w:rsidRDefault="008926DE" w:rsidP="008926DE">
      <w:pPr>
        <w:pStyle w:val="NoSpacing"/>
        <w:rPr>
          <w:rFonts w:ascii="Century Gothic" w:hAnsi="Century Gothic"/>
        </w:rPr>
      </w:pPr>
      <w:r w:rsidRPr="008926DE">
        <w:rPr>
          <w:rFonts w:ascii="Century Gothic" w:hAnsi="Century Gothic"/>
        </w:rPr>
        <w:t>A ‘shop window’ into your company and its culture</w:t>
      </w:r>
    </w:p>
    <w:p w14:paraId="3BA8A181" w14:textId="77777777" w:rsidR="008926DE" w:rsidRPr="008926DE" w:rsidRDefault="008926DE" w:rsidP="008926DE">
      <w:pPr>
        <w:spacing w:before="100" w:beforeAutospacing="1" w:after="100" w:afterAutospacing="1" w:line="240" w:lineRule="auto"/>
        <w:rPr>
          <w:rFonts w:ascii="Century Gothic" w:hAnsi="Century Gothic" w:cstheme="minorHAnsi"/>
        </w:rPr>
      </w:pPr>
      <w:r w:rsidRPr="008926DE">
        <w:rPr>
          <w:rFonts w:ascii="Century Gothic" w:hAnsi="Century Gothic" w:cstheme="minorHAnsi"/>
        </w:rPr>
        <w:t>Best practice considerations include:</w:t>
      </w:r>
    </w:p>
    <w:p w14:paraId="4F4894ED" w14:textId="77777777" w:rsidR="008926DE" w:rsidRPr="008926DE" w:rsidRDefault="008926DE" w:rsidP="008926DE">
      <w:pPr>
        <w:numPr>
          <w:ilvl w:val="0"/>
          <w:numId w:val="20"/>
        </w:numPr>
        <w:spacing w:before="100" w:beforeAutospacing="1" w:after="100" w:afterAutospacing="1" w:line="240" w:lineRule="auto"/>
        <w:rPr>
          <w:rFonts w:ascii="Century Gothic" w:hAnsi="Century Gothic" w:cstheme="minorHAnsi"/>
        </w:rPr>
      </w:pPr>
      <w:r w:rsidRPr="008926DE">
        <w:rPr>
          <w:rFonts w:ascii="Century Gothic" w:hAnsi="Century Gothic" w:cstheme="minorHAnsi"/>
        </w:rPr>
        <w:t>A forward looking, engaging, concise and entity-specific report</w:t>
      </w:r>
    </w:p>
    <w:p w14:paraId="2E862862" w14:textId="77777777" w:rsidR="008926DE" w:rsidRPr="008926DE" w:rsidRDefault="008926DE" w:rsidP="008926DE">
      <w:pPr>
        <w:numPr>
          <w:ilvl w:val="0"/>
          <w:numId w:val="20"/>
        </w:numPr>
        <w:spacing w:before="100" w:beforeAutospacing="1" w:after="100" w:afterAutospacing="1" w:line="240" w:lineRule="auto"/>
        <w:rPr>
          <w:rFonts w:ascii="Century Gothic" w:hAnsi="Century Gothic" w:cstheme="minorHAnsi"/>
        </w:rPr>
      </w:pPr>
      <w:r w:rsidRPr="008926DE">
        <w:rPr>
          <w:rFonts w:ascii="Century Gothic" w:hAnsi="Century Gothic" w:cstheme="minorHAnsi"/>
        </w:rPr>
        <w:t>Clear links between strategy, KPIs, risk and remuneration</w:t>
      </w:r>
    </w:p>
    <w:p w14:paraId="6BC7FABC" w14:textId="77777777" w:rsidR="008926DE" w:rsidRPr="008926DE" w:rsidRDefault="008926DE" w:rsidP="008926DE">
      <w:pPr>
        <w:numPr>
          <w:ilvl w:val="0"/>
          <w:numId w:val="20"/>
        </w:numPr>
        <w:spacing w:before="100" w:beforeAutospacing="1" w:after="100" w:afterAutospacing="1" w:line="240" w:lineRule="auto"/>
        <w:rPr>
          <w:rFonts w:ascii="Century Gothic" w:hAnsi="Century Gothic" w:cstheme="minorHAnsi"/>
        </w:rPr>
      </w:pPr>
      <w:r w:rsidRPr="008926DE">
        <w:rPr>
          <w:rFonts w:ascii="Century Gothic" w:hAnsi="Century Gothic" w:cstheme="minorHAnsi"/>
        </w:rPr>
        <w:t>An investment case that explains the growth drivers that promote long-term value</w:t>
      </w:r>
    </w:p>
    <w:p w14:paraId="71EAF4E8" w14:textId="77777777" w:rsidR="008926DE" w:rsidRPr="008926DE" w:rsidRDefault="008926DE" w:rsidP="008926DE">
      <w:pPr>
        <w:numPr>
          <w:ilvl w:val="0"/>
          <w:numId w:val="20"/>
        </w:numPr>
        <w:spacing w:before="100" w:beforeAutospacing="1" w:after="100" w:afterAutospacing="1" w:line="240" w:lineRule="auto"/>
        <w:rPr>
          <w:rFonts w:ascii="Century Gothic" w:hAnsi="Century Gothic" w:cstheme="minorHAnsi"/>
        </w:rPr>
      </w:pPr>
      <w:r w:rsidRPr="008926DE">
        <w:rPr>
          <w:rFonts w:ascii="Century Gothic" w:hAnsi="Century Gothic" w:cstheme="minorHAnsi"/>
        </w:rPr>
        <w:t>Explanation of how the company is actively incorporating sustainable practices into its strategy, operations and governance agenda</w:t>
      </w:r>
    </w:p>
    <w:p w14:paraId="5BBACB4D" w14:textId="5DC256CD" w:rsidR="002A4CC5" w:rsidRPr="008926DE" w:rsidRDefault="002A4CC5" w:rsidP="008926DE">
      <w:pPr>
        <w:rPr>
          <w:rFonts w:ascii="Century Gothic" w:hAnsi="Century Gothic"/>
          <w:i/>
          <w:sz w:val="20"/>
          <w:szCs w:val="20"/>
        </w:rPr>
      </w:pPr>
    </w:p>
    <w:sectPr w:rsidR="002A4CC5" w:rsidRPr="008926DE" w:rsidSect="00965D2D">
      <w:headerReference w:type="default" r:id="rId11"/>
      <w:footerReference w:type="default" r:id="rId12"/>
      <w:pgSz w:w="11906" w:h="16838"/>
      <w:pgMar w:top="2269"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4A8BA" w14:textId="77777777" w:rsidR="001F0555" w:rsidRDefault="001F0555" w:rsidP="00704809">
      <w:pPr>
        <w:spacing w:after="0" w:line="240" w:lineRule="auto"/>
      </w:pPr>
      <w:r>
        <w:separator/>
      </w:r>
    </w:p>
  </w:endnote>
  <w:endnote w:type="continuationSeparator" w:id="0">
    <w:p w14:paraId="3C73FDA4" w14:textId="77777777" w:rsidR="001F0555" w:rsidRDefault="001F0555" w:rsidP="0070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361D" w14:textId="1CBD97A6" w:rsidR="00704809" w:rsidRPr="00F8506E" w:rsidRDefault="00201C19" w:rsidP="00704809">
    <w:pPr>
      <w:pStyle w:val="Footer"/>
      <w:rPr>
        <w:color w:val="262626"/>
        <w:sz w:val="14"/>
      </w:rPr>
    </w:pPr>
    <w:r>
      <w:rPr>
        <w:noProof/>
      </w:rPr>
      <w:drawing>
        <wp:anchor distT="0" distB="0" distL="114300" distR="114300" simplePos="0" relativeHeight="251657216" behindDoc="1" locked="0" layoutInCell="1" allowOverlap="1" wp14:anchorId="6CFFC0DF" wp14:editId="141C4CDE">
          <wp:simplePos x="0" y="0"/>
          <wp:positionH relativeFrom="margin">
            <wp:posOffset>-72390</wp:posOffset>
          </wp:positionH>
          <wp:positionV relativeFrom="paragraph">
            <wp:posOffset>-26670</wp:posOffset>
          </wp:positionV>
          <wp:extent cx="5731510" cy="522605"/>
          <wp:effectExtent l="0" t="0" r="0" b="0"/>
          <wp:wrapNone/>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809" w:rsidRPr="00F8506E">
      <w:rPr>
        <w:color w:val="262626"/>
        <w:sz w:val="14"/>
      </w:rPr>
      <w:t xml:space="preserve">t: +44 (0) 20 7379 1763  |  </w:t>
    </w:r>
    <w:r w:rsidR="00033905" w:rsidRPr="00F8506E">
      <w:rPr>
        <w:color w:val="262626"/>
        <w:sz w:val="14"/>
      </w:rPr>
      <w:t>enquiries@irsociety.org.uk  |  www.irsociety.org.uk</w:t>
    </w:r>
  </w:p>
  <w:p w14:paraId="140EA67E" w14:textId="77777777" w:rsidR="00704809" w:rsidRPr="00F8506E" w:rsidRDefault="00704809" w:rsidP="00704809">
    <w:pPr>
      <w:pStyle w:val="Footer"/>
      <w:rPr>
        <w:color w:val="262626"/>
        <w:sz w:val="14"/>
      </w:rPr>
    </w:pPr>
  </w:p>
  <w:p w14:paraId="1115ECD8" w14:textId="77777777" w:rsidR="00704809" w:rsidRPr="00F8506E" w:rsidRDefault="00704809" w:rsidP="00704809">
    <w:pPr>
      <w:pStyle w:val="Footer"/>
      <w:rPr>
        <w:color w:val="262626"/>
        <w:sz w:val="14"/>
      </w:rPr>
    </w:pPr>
    <w:r w:rsidRPr="00F8506E">
      <w:rPr>
        <w:color w:val="262626"/>
        <w:sz w:val="14"/>
      </w:rPr>
      <w:t>The Investor Relations Society, 5th Floor, 30 Coleman Street, London EC2R 5AL</w:t>
    </w:r>
  </w:p>
  <w:p w14:paraId="112BCF5F" w14:textId="77777777" w:rsidR="00704809" w:rsidRPr="00F8506E" w:rsidRDefault="00704809" w:rsidP="00704809">
    <w:pPr>
      <w:pStyle w:val="Footer"/>
      <w:rPr>
        <w:color w:val="262626"/>
        <w:sz w:val="14"/>
      </w:rPr>
    </w:pPr>
    <w:r w:rsidRPr="00F8506E">
      <w:rPr>
        <w:color w:val="262626"/>
        <w:sz w:val="14"/>
      </w:rPr>
      <w:t xml:space="preserve">Registered in England no </w:t>
    </w:r>
    <w:r w:rsidR="00033905" w:rsidRPr="00F8506E">
      <w:rPr>
        <w:color w:val="262626"/>
        <w:sz w:val="14"/>
      </w:rPr>
      <w:t>0</w:t>
    </w:r>
    <w:r w:rsidRPr="00F8506E">
      <w:rPr>
        <w:color w:val="262626"/>
        <w:sz w:val="14"/>
      </w:rPr>
      <w:t>2294631</w:t>
    </w:r>
  </w:p>
  <w:p w14:paraId="58BF2C21" w14:textId="77777777" w:rsidR="00704809" w:rsidRPr="00F8506E" w:rsidRDefault="00704809" w:rsidP="00704809">
    <w:pPr>
      <w:pStyle w:val="Footer"/>
      <w:rPr>
        <w:color w:val="262626"/>
        <w:sz w:val="14"/>
      </w:rPr>
    </w:pPr>
    <w:r w:rsidRPr="00F8506E">
      <w:rPr>
        <w:color w:val="262626"/>
        <w:sz w:val="14"/>
      </w:rPr>
      <w:t>Registered Office: The Investor Relations Society, 5th Floor, 30 Coleman Street, London EC2R 5AL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9195B" w14:textId="77777777" w:rsidR="001F0555" w:rsidRDefault="001F0555" w:rsidP="00704809">
      <w:pPr>
        <w:spacing w:after="0" w:line="240" w:lineRule="auto"/>
      </w:pPr>
      <w:r>
        <w:separator/>
      </w:r>
    </w:p>
  </w:footnote>
  <w:footnote w:type="continuationSeparator" w:id="0">
    <w:p w14:paraId="4FD09E1D" w14:textId="77777777" w:rsidR="001F0555" w:rsidRDefault="001F0555" w:rsidP="00704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1D14" w14:textId="77777777" w:rsidR="002A4CC5" w:rsidRDefault="002A4CC5" w:rsidP="006A707B">
    <w:pPr>
      <w:pStyle w:val="Header"/>
    </w:pPr>
  </w:p>
  <w:p w14:paraId="4E5E68FB" w14:textId="2DD63230" w:rsidR="00704809" w:rsidRPr="006A707B" w:rsidRDefault="00201C19" w:rsidP="006A707B">
    <w:pPr>
      <w:pStyle w:val="Header"/>
    </w:pPr>
    <w:r>
      <w:rPr>
        <w:noProof/>
      </w:rPr>
      <w:drawing>
        <wp:anchor distT="0" distB="0" distL="114300" distR="114300" simplePos="0" relativeHeight="251658240" behindDoc="1" locked="0" layoutInCell="1" allowOverlap="1" wp14:anchorId="666287C7" wp14:editId="293AA72B">
          <wp:simplePos x="0" y="0"/>
          <wp:positionH relativeFrom="column">
            <wp:posOffset>0</wp:posOffset>
          </wp:positionH>
          <wp:positionV relativeFrom="paragraph">
            <wp:posOffset>-66675</wp:posOffset>
          </wp:positionV>
          <wp:extent cx="1397000" cy="845185"/>
          <wp:effectExtent l="0" t="0" r="0" b="0"/>
          <wp:wrapNone/>
          <wp:docPr id="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0487"/>
    <w:multiLevelType w:val="hybridMultilevel"/>
    <w:tmpl w:val="A374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9393C"/>
    <w:multiLevelType w:val="hybridMultilevel"/>
    <w:tmpl w:val="ED4E8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C2F09"/>
    <w:multiLevelType w:val="hybridMultilevel"/>
    <w:tmpl w:val="5568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A25D8"/>
    <w:multiLevelType w:val="hybridMultilevel"/>
    <w:tmpl w:val="26DC3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668BD"/>
    <w:multiLevelType w:val="hybridMultilevel"/>
    <w:tmpl w:val="2B0A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633FC"/>
    <w:multiLevelType w:val="hybridMultilevel"/>
    <w:tmpl w:val="34E247EC"/>
    <w:lvl w:ilvl="0" w:tplc="A62A3EC0">
      <w:start w:val="1"/>
      <w:numFmt w:val="bullet"/>
      <w:lvlText w:val="•"/>
      <w:lvlJc w:val="left"/>
      <w:pPr>
        <w:tabs>
          <w:tab w:val="num" w:pos="720"/>
        </w:tabs>
        <w:ind w:left="720" w:hanging="360"/>
      </w:pPr>
      <w:rPr>
        <w:rFonts w:ascii="Arial" w:hAnsi="Arial" w:hint="default"/>
      </w:rPr>
    </w:lvl>
    <w:lvl w:ilvl="1" w:tplc="C67E5888" w:tentative="1">
      <w:start w:val="1"/>
      <w:numFmt w:val="bullet"/>
      <w:lvlText w:val="•"/>
      <w:lvlJc w:val="left"/>
      <w:pPr>
        <w:tabs>
          <w:tab w:val="num" w:pos="1440"/>
        </w:tabs>
        <w:ind w:left="1440" w:hanging="360"/>
      </w:pPr>
      <w:rPr>
        <w:rFonts w:ascii="Arial" w:hAnsi="Arial" w:hint="default"/>
      </w:rPr>
    </w:lvl>
    <w:lvl w:ilvl="2" w:tplc="DECAAB7C" w:tentative="1">
      <w:start w:val="1"/>
      <w:numFmt w:val="bullet"/>
      <w:lvlText w:val="•"/>
      <w:lvlJc w:val="left"/>
      <w:pPr>
        <w:tabs>
          <w:tab w:val="num" w:pos="2160"/>
        </w:tabs>
        <w:ind w:left="2160" w:hanging="360"/>
      </w:pPr>
      <w:rPr>
        <w:rFonts w:ascii="Arial" w:hAnsi="Arial" w:hint="default"/>
      </w:rPr>
    </w:lvl>
    <w:lvl w:ilvl="3" w:tplc="226048AA" w:tentative="1">
      <w:start w:val="1"/>
      <w:numFmt w:val="bullet"/>
      <w:lvlText w:val="•"/>
      <w:lvlJc w:val="left"/>
      <w:pPr>
        <w:tabs>
          <w:tab w:val="num" w:pos="2880"/>
        </w:tabs>
        <w:ind w:left="2880" w:hanging="360"/>
      </w:pPr>
      <w:rPr>
        <w:rFonts w:ascii="Arial" w:hAnsi="Arial" w:hint="default"/>
      </w:rPr>
    </w:lvl>
    <w:lvl w:ilvl="4" w:tplc="20825BD4" w:tentative="1">
      <w:start w:val="1"/>
      <w:numFmt w:val="bullet"/>
      <w:lvlText w:val="•"/>
      <w:lvlJc w:val="left"/>
      <w:pPr>
        <w:tabs>
          <w:tab w:val="num" w:pos="3600"/>
        </w:tabs>
        <w:ind w:left="3600" w:hanging="360"/>
      </w:pPr>
      <w:rPr>
        <w:rFonts w:ascii="Arial" w:hAnsi="Arial" w:hint="default"/>
      </w:rPr>
    </w:lvl>
    <w:lvl w:ilvl="5" w:tplc="71624D00" w:tentative="1">
      <w:start w:val="1"/>
      <w:numFmt w:val="bullet"/>
      <w:lvlText w:val="•"/>
      <w:lvlJc w:val="left"/>
      <w:pPr>
        <w:tabs>
          <w:tab w:val="num" w:pos="4320"/>
        </w:tabs>
        <w:ind w:left="4320" w:hanging="360"/>
      </w:pPr>
      <w:rPr>
        <w:rFonts w:ascii="Arial" w:hAnsi="Arial" w:hint="default"/>
      </w:rPr>
    </w:lvl>
    <w:lvl w:ilvl="6" w:tplc="85709BDE" w:tentative="1">
      <w:start w:val="1"/>
      <w:numFmt w:val="bullet"/>
      <w:lvlText w:val="•"/>
      <w:lvlJc w:val="left"/>
      <w:pPr>
        <w:tabs>
          <w:tab w:val="num" w:pos="5040"/>
        </w:tabs>
        <w:ind w:left="5040" w:hanging="360"/>
      </w:pPr>
      <w:rPr>
        <w:rFonts w:ascii="Arial" w:hAnsi="Arial" w:hint="default"/>
      </w:rPr>
    </w:lvl>
    <w:lvl w:ilvl="7" w:tplc="373C57C0" w:tentative="1">
      <w:start w:val="1"/>
      <w:numFmt w:val="bullet"/>
      <w:lvlText w:val="•"/>
      <w:lvlJc w:val="left"/>
      <w:pPr>
        <w:tabs>
          <w:tab w:val="num" w:pos="5760"/>
        </w:tabs>
        <w:ind w:left="5760" w:hanging="360"/>
      </w:pPr>
      <w:rPr>
        <w:rFonts w:ascii="Arial" w:hAnsi="Arial" w:hint="default"/>
      </w:rPr>
    </w:lvl>
    <w:lvl w:ilvl="8" w:tplc="D7B4D4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DF2AAB"/>
    <w:multiLevelType w:val="hybridMultilevel"/>
    <w:tmpl w:val="7E340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83AB2"/>
    <w:multiLevelType w:val="hybridMultilevel"/>
    <w:tmpl w:val="0DD0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43C82"/>
    <w:multiLevelType w:val="hybridMultilevel"/>
    <w:tmpl w:val="AF1EC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777C43"/>
    <w:multiLevelType w:val="hybridMultilevel"/>
    <w:tmpl w:val="F912EA0C"/>
    <w:lvl w:ilvl="0" w:tplc="7FD0E496">
      <w:start w:val="1"/>
      <w:numFmt w:val="bullet"/>
      <w:lvlText w:val="•"/>
      <w:lvlJc w:val="left"/>
      <w:pPr>
        <w:tabs>
          <w:tab w:val="num" w:pos="720"/>
        </w:tabs>
        <w:ind w:left="720" w:hanging="360"/>
      </w:pPr>
      <w:rPr>
        <w:rFonts w:ascii="Arial" w:hAnsi="Arial" w:hint="default"/>
      </w:rPr>
    </w:lvl>
    <w:lvl w:ilvl="1" w:tplc="E1D0A48E" w:tentative="1">
      <w:start w:val="1"/>
      <w:numFmt w:val="bullet"/>
      <w:lvlText w:val="•"/>
      <w:lvlJc w:val="left"/>
      <w:pPr>
        <w:tabs>
          <w:tab w:val="num" w:pos="1440"/>
        </w:tabs>
        <w:ind w:left="1440" w:hanging="360"/>
      </w:pPr>
      <w:rPr>
        <w:rFonts w:ascii="Arial" w:hAnsi="Arial" w:hint="default"/>
      </w:rPr>
    </w:lvl>
    <w:lvl w:ilvl="2" w:tplc="4394FE9A" w:tentative="1">
      <w:start w:val="1"/>
      <w:numFmt w:val="bullet"/>
      <w:lvlText w:val="•"/>
      <w:lvlJc w:val="left"/>
      <w:pPr>
        <w:tabs>
          <w:tab w:val="num" w:pos="2160"/>
        </w:tabs>
        <w:ind w:left="2160" w:hanging="360"/>
      </w:pPr>
      <w:rPr>
        <w:rFonts w:ascii="Arial" w:hAnsi="Arial" w:hint="default"/>
      </w:rPr>
    </w:lvl>
    <w:lvl w:ilvl="3" w:tplc="20803350" w:tentative="1">
      <w:start w:val="1"/>
      <w:numFmt w:val="bullet"/>
      <w:lvlText w:val="•"/>
      <w:lvlJc w:val="left"/>
      <w:pPr>
        <w:tabs>
          <w:tab w:val="num" w:pos="2880"/>
        </w:tabs>
        <w:ind w:left="2880" w:hanging="360"/>
      </w:pPr>
      <w:rPr>
        <w:rFonts w:ascii="Arial" w:hAnsi="Arial" w:hint="default"/>
      </w:rPr>
    </w:lvl>
    <w:lvl w:ilvl="4" w:tplc="ECB684EA" w:tentative="1">
      <w:start w:val="1"/>
      <w:numFmt w:val="bullet"/>
      <w:lvlText w:val="•"/>
      <w:lvlJc w:val="left"/>
      <w:pPr>
        <w:tabs>
          <w:tab w:val="num" w:pos="3600"/>
        </w:tabs>
        <w:ind w:left="3600" w:hanging="360"/>
      </w:pPr>
      <w:rPr>
        <w:rFonts w:ascii="Arial" w:hAnsi="Arial" w:hint="default"/>
      </w:rPr>
    </w:lvl>
    <w:lvl w:ilvl="5" w:tplc="670EE2BA" w:tentative="1">
      <w:start w:val="1"/>
      <w:numFmt w:val="bullet"/>
      <w:lvlText w:val="•"/>
      <w:lvlJc w:val="left"/>
      <w:pPr>
        <w:tabs>
          <w:tab w:val="num" w:pos="4320"/>
        </w:tabs>
        <w:ind w:left="4320" w:hanging="360"/>
      </w:pPr>
      <w:rPr>
        <w:rFonts w:ascii="Arial" w:hAnsi="Arial" w:hint="default"/>
      </w:rPr>
    </w:lvl>
    <w:lvl w:ilvl="6" w:tplc="A0FEB300" w:tentative="1">
      <w:start w:val="1"/>
      <w:numFmt w:val="bullet"/>
      <w:lvlText w:val="•"/>
      <w:lvlJc w:val="left"/>
      <w:pPr>
        <w:tabs>
          <w:tab w:val="num" w:pos="5040"/>
        </w:tabs>
        <w:ind w:left="5040" w:hanging="360"/>
      </w:pPr>
      <w:rPr>
        <w:rFonts w:ascii="Arial" w:hAnsi="Arial" w:hint="default"/>
      </w:rPr>
    </w:lvl>
    <w:lvl w:ilvl="7" w:tplc="B61A8C4E" w:tentative="1">
      <w:start w:val="1"/>
      <w:numFmt w:val="bullet"/>
      <w:lvlText w:val="•"/>
      <w:lvlJc w:val="left"/>
      <w:pPr>
        <w:tabs>
          <w:tab w:val="num" w:pos="5760"/>
        </w:tabs>
        <w:ind w:left="5760" w:hanging="360"/>
      </w:pPr>
      <w:rPr>
        <w:rFonts w:ascii="Arial" w:hAnsi="Arial" w:hint="default"/>
      </w:rPr>
    </w:lvl>
    <w:lvl w:ilvl="8" w:tplc="084ED4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B95720"/>
    <w:multiLevelType w:val="hybridMultilevel"/>
    <w:tmpl w:val="4300BBC6"/>
    <w:lvl w:ilvl="0" w:tplc="1E0E8484">
      <w:start w:val="1"/>
      <w:numFmt w:val="bullet"/>
      <w:lvlText w:val="•"/>
      <w:lvlJc w:val="left"/>
      <w:pPr>
        <w:tabs>
          <w:tab w:val="num" w:pos="720"/>
        </w:tabs>
        <w:ind w:left="720" w:hanging="360"/>
      </w:pPr>
      <w:rPr>
        <w:rFonts w:ascii="Arial" w:hAnsi="Arial" w:hint="default"/>
      </w:rPr>
    </w:lvl>
    <w:lvl w:ilvl="1" w:tplc="47A042AE" w:tentative="1">
      <w:start w:val="1"/>
      <w:numFmt w:val="bullet"/>
      <w:lvlText w:val="•"/>
      <w:lvlJc w:val="left"/>
      <w:pPr>
        <w:tabs>
          <w:tab w:val="num" w:pos="1440"/>
        </w:tabs>
        <w:ind w:left="1440" w:hanging="360"/>
      </w:pPr>
      <w:rPr>
        <w:rFonts w:ascii="Arial" w:hAnsi="Arial" w:hint="default"/>
      </w:rPr>
    </w:lvl>
    <w:lvl w:ilvl="2" w:tplc="80F82EA6" w:tentative="1">
      <w:start w:val="1"/>
      <w:numFmt w:val="bullet"/>
      <w:lvlText w:val="•"/>
      <w:lvlJc w:val="left"/>
      <w:pPr>
        <w:tabs>
          <w:tab w:val="num" w:pos="2160"/>
        </w:tabs>
        <w:ind w:left="2160" w:hanging="360"/>
      </w:pPr>
      <w:rPr>
        <w:rFonts w:ascii="Arial" w:hAnsi="Arial" w:hint="default"/>
      </w:rPr>
    </w:lvl>
    <w:lvl w:ilvl="3" w:tplc="FFA4E0EC" w:tentative="1">
      <w:start w:val="1"/>
      <w:numFmt w:val="bullet"/>
      <w:lvlText w:val="•"/>
      <w:lvlJc w:val="left"/>
      <w:pPr>
        <w:tabs>
          <w:tab w:val="num" w:pos="2880"/>
        </w:tabs>
        <w:ind w:left="2880" w:hanging="360"/>
      </w:pPr>
      <w:rPr>
        <w:rFonts w:ascii="Arial" w:hAnsi="Arial" w:hint="default"/>
      </w:rPr>
    </w:lvl>
    <w:lvl w:ilvl="4" w:tplc="440C0136" w:tentative="1">
      <w:start w:val="1"/>
      <w:numFmt w:val="bullet"/>
      <w:lvlText w:val="•"/>
      <w:lvlJc w:val="left"/>
      <w:pPr>
        <w:tabs>
          <w:tab w:val="num" w:pos="3600"/>
        </w:tabs>
        <w:ind w:left="3600" w:hanging="360"/>
      </w:pPr>
      <w:rPr>
        <w:rFonts w:ascii="Arial" w:hAnsi="Arial" w:hint="default"/>
      </w:rPr>
    </w:lvl>
    <w:lvl w:ilvl="5" w:tplc="EED024FA" w:tentative="1">
      <w:start w:val="1"/>
      <w:numFmt w:val="bullet"/>
      <w:lvlText w:val="•"/>
      <w:lvlJc w:val="left"/>
      <w:pPr>
        <w:tabs>
          <w:tab w:val="num" w:pos="4320"/>
        </w:tabs>
        <w:ind w:left="4320" w:hanging="360"/>
      </w:pPr>
      <w:rPr>
        <w:rFonts w:ascii="Arial" w:hAnsi="Arial" w:hint="default"/>
      </w:rPr>
    </w:lvl>
    <w:lvl w:ilvl="6" w:tplc="0B9A7198" w:tentative="1">
      <w:start w:val="1"/>
      <w:numFmt w:val="bullet"/>
      <w:lvlText w:val="•"/>
      <w:lvlJc w:val="left"/>
      <w:pPr>
        <w:tabs>
          <w:tab w:val="num" w:pos="5040"/>
        </w:tabs>
        <w:ind w:left="5040" w:hanging="360"/>
      </w:pPr>
      <w:rPr>
        <w:rFonts w:ascii="Arial" w:hAnsi="Arial" w:hint="default"/>
      </w:rPr>
    </w:lvl>
    <w:lvl w:ilvl="7" w:tplc="636C87E4" w:tentative="1">
      <w:start w:val="1"/>
      <w:numFmt w:val="bullet"/>
      <w:lvlText w:val="•"/>
      <w:lvlJc w:val="left"/>
      <w:pPr>
        <w:tabs>
          <w:tab w:val="num" w:pos="5760"/>
        </w:tabs>
        <w:ind w:left="5760" w:hanging="360"/>
      </w:pPr>
      <w:rPr>
        <w:rFonts w:ascii="Arial" w:hAnsi="Arial" w:hint="default"/>
      </w:rPr>
    </w:lvl>
    <w:lvl w:ilvl="8" w:tplc="9E4AE7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DB4F1A"/>
    <w:multiLevelType w:val="hybridMultilevel"/>
    <w:tmpl w:val="5F92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83802"/>
    <w:multiLevelType w:val="multilevel"/>
    <w:tmpl w:val="D5A8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377A90"/>
    <w:multiLevelType w:val="hybridMultilevel"/>
    <w:tmpl w:val="611E3ADA"/>
    <w:lvl w:ilvl="0" w:tplc="232E0218">
      <w:start w:val="1"/>
      <w:numFmt w:val="bullet"/>
      <w:lvlText w:val="•"/>
      <w:lvlJc w:val="left"/>
      <w:pPr>
        <w:tabs>
          <w:tab w:val="num" w:pos="720"/>
        </w:tabs>
        <w:ind w:left="720" w:hanging="360"/>
      </w:pPr>
      <w:rPr>
        <w:rFonts w:ascii="Arial" w:hAnsi="Arial" w:hint="default"/>
      </w:rPr>
    </w:lvl>
    <w:lvl w:ilvl="1" w:tplc="B1348B9E" w:tentative="1">
      <w:start w:val="1"/>
      <w:numFmt w:val="bullet"/>
      <w:lvlText w:val="•"/>
      <w:lvlJc w:val="left"/>
      <w:pPr>
        <w:tabs>
          <w:tab w:val="num" w:pos="1440"/>
        </w:tabs>
        <w:ind w:left="1440" w:hanging="360"/>
      </w:pPr>
      <w:rPr>
        <w:rFonts w:ascii="Arial" w:hAnsi="Arial" w:hint="default"/>
      </w:rPr>
    </w:lvl>
    <w:lvl w:ilvl="2" w:tplc="A9FA56DC" w:tentative="1">
      <w:start w:val="1"/>
      <w:numFmt w:val="bullet"/>
      <w:lvlText w:val="•"/>
      <w:lvlJc w:val="left"/>
      <w:pPr>
        <w:tabs>
          <w:tab w:val="num" w:pos="2160"/>
        </w:tabs>
        <w:ind w:left="2160" w:hanging="360"/>
      </w:pPr>
      <w:rPr>
        <w:rFonts w:ascii="Arial" w:hAnsi="Arial" w:hint="default"/>
      </w:rPr>
    </w:lvl>
    <w:lvl w:ilvl="3" w:tplc="B36E2836" w:tentative="1">
      <w:start w:val="1"/>
      <w:numFmt w:val="bullet"/>
      <w:lvlText w:val="•"/>
      <w:lvlJc w:val="left"/>
      <w:pPr>
        <w:tabs>
          <w:tab w:val="num" w:pos="2880"/>
        </w:tabs>
        <w:ind w:left="2880" w:hanging="360"/>
      </w:pPr>
      <w:rPr>
        <w:rFonts w:ascii="Arial" w:hAnsi="Arial" w:hint="default"/>
      </w:rPr>
    </w:lvl>
    <w:lvl w:ilvl="4" w:tplc="EA10279A" w:tentative="1">
      <w:start w:val="1"/>
      <w:numFmt w:val="bullet"/>
      <w:lvlText w:val="•"/>
      <w:lvlJc w:val="left"/>
      <w:pPr>
        <w:tabs>
          <w:tab w:val="num" w:pos="3600"/>
        </w:tabs>
        <w:ind w:left="3600" w:hanging="360"/>
      </w:pPr>
      <w:rPr>
        <w:rFonts w:ascii="Arial" w:hAnsi="Arial" w:hint="default"/>
      </w:rPr>
    </w:lvl>
    <w:lvl w:ilvl="5" w:tplc="9D38E7F8" w:tentative="1">
      <w:start w:val="1"/>
      <w:numFmt w:val="bullet"/>
      <w:lvlText w:val="•"/>
      <w:lvlJc w:val="left"/>
      <w:pPr>
        <w:tabs>
          <w:tab w:val="num" w:pos="4320"/>
        </w:tabs>
        <w:ind w:left="4320" w:hanging="360"/>
      </w:pPr>
      <w:rPr>
        <w:rFonts w:ascii="Arial" w:hAnsi="Arial" w:hint="default"/>
      </w:rPr>
    </w:lvl>
    <w:lvl w:ilvl="6" w:tplc="982C438E" w:tentative="1">
      <w:start w:val="1"/>
      <w:numFmt w:val="bullet"/>
      <w:lvlText w:val="•"/>
      <w:lvlJc w:val="left"/>
      <w:pPr>
        <w:tabs>
          <w:tab w:val="num" w:pos="5040"/>
        </w:tabs>
        <w:ind w:left="5040" w:hanging="360"/>
      </w:pPr>
      <w:rPr>
        <w:rFonts w:ascii="Arial" w:hAnsi="Arial" w:hint="default"/>
      </w:rPr>
    </w:lvl>
    <w:lvl w:ilvl="7" w:tplc="0E1CA006" w:tentative="1">
      <w:start w:val="1"/>
      <w:numFmt w:val="bullet"/>
      <w:lvlText w:val="•"/>
      <w:lvlJc w:val="left"/>
      <w:pPr>
        <w:tabs>
          <w:tab w:val="num" w:pos="5760"/>
        </w:tabs>
        <w:ind w:left="5760" w:hanging="360"/>
      </w:pPr>
      <w:rPr>
        <w:rFonts w:ascii="Arial" w:hAnsi="Arial" w:hint="default"/>
      </w:rPr>
    </w:lvl>
    <w:lvl w:ilvl="8" w:tplc="6F2447D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1251E2D"/>
    <w:multiLevelType w:val="hybridMultilevel"/>
    <w:tmpl w:val="A87060CE"/>
    <w:lvl w:ilvl="0" w:tplc="575A691A">
      <w:start w:val="1"/>
      <w:numFmt w:val="bullet"/>
      <w:lvlText w:val="•"/>
      <w:lvlJc w:val="left"/>
      <w:pPr>
        <w:tabs>
          <w:tab w:val="num" w:pos="720"/>
        </w:tabs>
        <w:ind w:left="720" w:hanging="360"/>
      </w:pPr>
      <w:rPr>
        <w:rFonts w:ascii="Arial" w:hAnsi="Arial" w:hint="default"/>
      </w:rPr>
    </w:lvl>
    <w:lvl w:ilvl="1" w:tplc="714E2FD6" w:tentative="1">
      <w:start w:val="1"/>
      <w:numFmt w:val="bullet"/>
      <w:lvlText w:val="•"/>
      <w:lvlJc w:val="left"/>
      <w:pPr>
        <w:tabs>
          <w:tab w:val="num" w:pos="1440"/>
        </w:tabs>
        <w:ind w:left="1440" w:hanging="360"/>
      </w:pPr>
      <w:rPr>
        <w:rFonts w:ascii="Arial" w:hAnsi="Arial" w:hint="default"/>
      </w:rPr>
    </w:lvl>
    <w:lvl w:ilvl="2" w:tplc="ACB8B630" w:tentative="1">
      <w:start w:val="1"/>
      <w:numFmt w:val="bullet"/>
      <w:lvlText w:val="•"/>
      <w:lvlJc w:val="left"/>
      <w:pPr>
        <w:tabs>
          <w:tab w:val="num" w:pos="2160"/>
        </w:tabs>
        <w:ind w:left="2160" w:hanging="360"/>
      </w:pPr>
      <w:rPr>
        <w:rFonts w:ascii="Arial" w:hAnsi="Arial" w:hint="default"/>
      </w:rPr>
    </w:lvl>
    <w:lvl w:ilvl="3" w:tplc="DC9027CE" w:tentative="1">
      <w:start w:val="1"/>
      <w:numFmt w:val="bullet"/>
      <w:lvlText w:val="•"/>
      <w:lvlJc w:val="left"/>
      <w:pPr>
        <w:tabs>
          <w:tab w:val="num" w:pos="2880"/>
        </w:tabs>
        <w:ind w:left="2880" w:hanging="360"/>
      </w:pPr>
      <w:rPr>
        <w:rFonts w:ascii="Arial" w:hAnsi="Arial" w:hint="default"/>
      </w:rPr>
    </w:lvl>
    <w:lvl w:ilvl="4" w:tplc="627A4796" w:tentative="1">
      <w:start w:val="1"/>
      <w:numFmt w:val="bullet"/>
      <w:lvlText w:val="•"/>
      <w:lvlJc w:val="left"/>
      <w:pPr>
        <w:tabs>
          <w:tab w:val="num" w:pos="3600"/>
        </w:tabs>
        <w:ind w:left="3600" w:hanging="360"/>
      </w:pPr>
      <w:rPr>
        <w:rFonts w:ascii="Arial" w:hAnsi="Arial" w:hint="default"/>
      </w:rPr>
    </w:lvl>
    <w:lvl w:ilvl="5" w:tplc="C2ACB45A" w:tentative="1">
      <w:start w:val="1"/>
      <w:numFmt w:val="bullet"/>
      <w:lvlText w:val="•"/>
      <w:lvlJc w:val="left"/>
      <w:pPr>
        <w:tabs>
          <w:tab w:val="num" w:pos="4320"/>
        </w:tabs>
        <w:ind w:left="4320" w:hanging="360"/>
      </w:pPr>
      <w:rPr>
        <w:rFonts w:ascii="Arial" w:hAnsi="Arial" w:hint="default"/>
      </w:rPr>
    </w:lvl>
    <w:lvl w:ilvl="6" w:tplc="596275D8" w:tentative="1">
      <w:start w:val="1"/>
      <w:numFmt w:val="bullet"/>
      <w:lvlText w:val="•"/>
      <w:lvlJc w:val="left"/>
      <w:pPr>
        <w:tabs>
          <w:tab w:val="num" w:pos="5040"/>
        </w:tabs>
        <w:ind w:left="5040" w:hanging="360"/>
      </w:pPr>
      <w:rPr>
        <w:rFonts w:ascii="Arial" w:hAnsi="Arial" w:hint="default"/>
      </w:rPr>
    </w:lvl>
    <w:lvl w:ilvl="7" w:tplc="6BD2DB1A" w:tentative="1">
      <w:start w:val="1"/>
      <w:numFmt w:val="bullet"/>
      <w:lvlText w:val="•"/>
      <w:lvlJc w:val="left"/>
      <w:pPr>
        <w:tabs>
          <w:tab w:val="num" w:pos="5760"/>
        </w:tabs>
        <w:ind w:left="5760" w:hanging="360"/>
      </w:pPr>
      <w:rPr>
        <w:rFonts w:ascii="Arial" w:hAnsi="Arial" w:hint="default"/>
      </w:rPr>
    </w:lvl>
    <w:lvl w:ilvl="8" w:tplc="00F618B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8D573D1"/>
    <w:multiLevelType w:val="hybridMultilevel"/>
    <w:tmpl w:val="DC7869B0"/>
    <w:lvl w:ilvl="0" w:tplc="E410B78C">
      <w:start w:val="1"/>
      <w:numFmt w:val="bullet"/>
      <w:lvlText w:val="•"/>
      <w:lvlJc w:val="left"/>
      <w:pPr>
        <w:tabs>
          <w:tab w:val="num" w:pos="720"/>
        </w:tabs>
        <w:ind w:left="720" w:hanging="360"/>
      </w:pPr>
      <w:rPr>
        <w:rFonts w:ascii="Arial" w:hAnsi="Arial" w:hint="default"/>
      </w:rPr>
    </w:lvl>
    <w:lvl w:ilvl="1" w:tplc="0FB049C8" w:tentative="1">
      <w:start w:val="1"/>
      <w:numFmt w:val="bullet"/>
      <w:lvlText w:val="•"/>
      <w:lvlJc w:val="left"/>
      <w:pPr>
        <w:tabs>
          <w:tab w:val="num" w:pos="1440"/>
        </w:tabs>
        <w:ind w:left="1440" w:hanging="360"/>
      </w:pPr>
      <w:rPr>
        <w:rFonts w:ascii="Arial" w:hAnsi="Arial" w:hint="default"/>
      </w:rPr>
    </w:lvl>
    <w:lvl w:ilvl="2" w:tplc="F32207AE" w:tentative="1">
      <w:start w:val="1"/>
      <w:numFmt w:val="bullet"/>
      <w:lvlText w:val="•"/>
      <w:lvlJc w:val="left"/>
      <w:pPr>
        <w:tabs>
          <w:tab w:val="num" w:pos="2160"/>
        </w:tabs>
        <w:ind w:left="2160" w:hanging="360"/>
      </w:pPr>
      <w:rPr>
        <w:rFonts w:ascii="Arial" w:hAnsi="Arial" w:hint="default"/>
      </w:rPr>
    </w:lvl>
    <w:lvl w:ilvl="3" w:tplc="FC248C02" w:tentative="1">
      <w:start w:val="1"/>
      <w:numFmt w:val="bullet"/>
      <w:lvlText w:val="•"/>
      <w:lvlJc w:val="left"/>
      <w:pPr>
        <w:tabs>
          <w:tab w:val="num" w:pos="2880"/>
        </w:tabs>
        <w:ind w:left="2880" w:hanging="360"/>
      </w:pPr>
      <w:rPr>
        <w:rFonts w:ascii="Arial" w:hAnsi="Arial" w:hint="default"/>
      </w:rPr>
    </w:lvl>
    <w:lvl w:ilvl="4" w:tplc="961AD6DE" w:tentative="1">
      <w:start w:val="1"/>
      <w:numFmt w:val="bullet"/>
      <w:lvlText w:val="•"/>
      <w:lvlJc w:val="left"/>
      <w:pPr>
        <w:tabs>
          <w:tab w:val="num" w:pos="3600"/>
        </w:tabs>
        <w:ind w:left="3600" w:hanging="360"/>
      </w:pPr>
      <w:rPr>
        <w:rFonts w:ascii="Arial" w:hAnsi="Arial" w:hint="default"/>
      </w:rPr>
    </w:lvl>
    <w:lvl w:ilvl="5" w:tplc="C4188A4A" w:tentative="1">
      <w:start w:val="1"/>
      <w:numFmt w:val="bullet"/>
      <w:lvlText w:val="•"/>
      <w:lvlJc w:val="left"/>
      <w:pPr>
        <w:tabs>
          <w:tab w:val="num" w:pos="4320"/>
        </w:tabs>
        <w:ind w:left="4320" w:hanging="360"/>
      </w:pPr>
      <w:rPr>
        <w:rFonts w:ascii="Arial" w:hAnsi="Arial" w:hint="default"/>
      </w:rPr>
    </w:lvl>
    <w:lvl w:ilvl="6" w:tplc="DF3A6350" w:tentative="1">
      <w:start w:val="1"/>
      <w:numFmt w:val="bullet"/>
      <w:lvlText w:val="•"/>
      <w:lvlJc w:val="left"/>
      <w:pPr>
        <w:tabs>
          <w:tab w:val="num" w:pos="5040"/>
        </w:tabs>
        <w:ind w:left="5040" w:hanging="360"/>
      </w:pPr>
      <w:rPr>
        <w:rFonts w:ascii="Arial" w:hAnsi="Arial" w:hint="default"/>
      </w:rPr>
    </w:lvl>
    <w:lvl w:ilvl="7" w:tplc="47EEDE34" w:tentative="1">
      <w:start w:val="1"/>
      <w:numFmt w:val="bullet"/>
      <w:lvlText w:val="•"/>
      <w:lvlJc w:val="left"/>
      <w:pPr>
        <w:tabs>
          <w:tab w:val="num" w:pos="5760"/>
        </w:tabs>
        <w:ind w:left="5760" w:hanging="360"/>
      </w:pPr>
      <w:rPr>
        <w:rFonts w:ascii="Arial" w:hAnsi="Arial" w:hint="default"/>
      </w:rPr>
    </w:lvl>
    <w:lvl w:ilvl="8" w:tplc="EE721F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B3D549E"/>
    <w:multiLevelType w:val="hybridMultilevel"/>
    <w:tmpl w:val="0ECCEB78"/>
    <w:lvl w:ilvl="0" w:tplc="F5E4F750">
      <w:start w:val="1"/>
      <w:numFmt w:val="bullet"/>
      <w:lvlText w:val="•"/>
      <w:lvlJc w:val="left"/>
      <w:pPr>
        <w:tabs>
          <w:tab w:val="num" w:pos="720"/>
        </w:tabs>
        <w:ind w:left="720" w:hanging="360"/>
      </w:pPr>
      <w:rPr>
        <w:rFonts w:ascii="Arial" w:hAnsi="Arial" w:hint="default"/>
      </w:rPr>
    </w:lvl>
    <w:lvl w:ilvl="1" w:tplc="4918A53A" w:tentative="1">
      <w:start w:val="1"/>
      <w:numFmt w:val="bullet"/>
      <w:lvlText w:val="•"/>
      <w:lvlJc w:val="left"/>
      <w:pPr>
        <w:tabs>
          <w:tab w:val="num" w:pos="1440"/>
        </w:tabs>
        <w:ind w:left="1440" w:hanging="360"/>
      </w:pPr>
      <w:rPr>
        <w:rFonts w:ascii="Arial" w:hAnsi="Arial" w:hint="default"/>
      </w:rPr>
    </w:lvl>
    <w:lvl w:ilvl="2" w:tplc="0BC03AA0" w:tentative="1">
      <w:start w:val="1"/>
      <w:numFmt w:val="bullet"/>
      <w:lvlText w:val="•"/>
      <w:lvlJc w:val="left"/>
      <w:pPr>
        <w:tabs>
          <w:tab w:val="num" w:pos="2160"/>
        </w:tabs>
        <w:ind w:left="2160" w:hanging="360"/>
      </w:pPr>
      <w:rPr>
        <w:rFonts w:ascii="Arial" w:hAnsi="Arial" w:hint="default"/>
      </w:rPr>
    </w:lvl>
    <w:lvl w:ilvl="3" w:tplc="9166A1AE" w:tentative="1">
      <w:start w:val="1"/>
      <w:numFmt w:val="bullet"/>
      <w:lvlText w:val="•"/>
      <w:lvlJc w:val="left"/>
      <w:pPr>
        <w:tabs>
          <w:tab w:val="num" w:pos="2880"/>
        </w:tabs>
        <w:ind w:left="2880" w:hanging="360"/>
      </w:pPr>
      <w:rPr>
        <w:rFonts w:ascii="Arial" w:hAnsi="Arial" w:hint="default"/>
      </w:rPr>
    </w:lvl>
    <w:lvl w:ilvl="4" w:tplc="2E74912E" w:tentative="1">
      <w:start w:val="1"/>
      <w:numFmt w:val="bullet"/>
      <w:lvlText w:val="•"/>
      <w:lvlJc w:val="left"/>
      <w:pPr>
        <w:tabs>
          <w:tab w:val="num" w:pos="3600"/>
        </w:tabs>
        <w:ind w:left="3600" w:hanging="360"/>
      </w:pPr>
      <w:rPr>
        <w:rFonts w:ascii="Arial" w:hAnsi="Arial" w:hint="default"/>
      </w:rPr>
    </w:lvl>
    <w:lvl w:ilvl="5" w:tplc="11CE4B2E" w:tentative="1">
      <w:start w:val="1"/>
      <w:numFmt w:val="bullet"/>
      <w:lvlText w:val="•"/>
      <w:lvlJc w:val="left"/>
      <w:pPr>
        <w:tabs>
          <w:tab w:val="num" w:pos="4320"/>
        </w:tabs>
        <w:ind w:left="4320" w:hanging="360"/>
      </w:pPr>
      <w:rPr>
        <w:rFonts w:ascii="Arial" w:hAnsi="Arial" w:hint="default"/>
      </w:rPr>
    </w:lvl>
    <w:lvl w:ilvl="6" w:tplc="8A02EBE0" w:tentative="1">
      <w:start w:val="1"/>
      <w:numFmt w:val="bullet"/>
      <w:lvlText w:val="•"/>
      <w:lvlJc w:val="left"/>
      <w:pPr>
        <w:tabs>
          <w:tab w:val="num" w:pos="5040"/>
        </w:tabs>
        <w:ind w:left="5040" w:hanging="360"/>
      </w:pPr>
      <w:rPr>
        <w:rFonts w:ascii="Arial" w:hAnsi="Arial" w:hint="default"/>
      </w:rPr>
    </w:lvl>
    <w:lvl w:ilvl="7" w:tplc="8468237E" w:tentative="1">
      <w:start w:val="1"/>
      <w:numFmt w:val="bullet"/>
      <w:lvlText w:val="•"/>
      <w:lvlJc w:val="left"/>
      <w:pPr>
        <w:tabs>
          <w:tab w:val="num" w:pos="5760"/>
        </w:tabs>
        <w:ind w:left="5760" w:hanging="360"/>
      </w:pPr>
      <w:rPr>
        <w:rFonts w:ascii="Arial" w:hAnsi="Arial" w:hint="default"/>
      </w:rPr>
    </w:lvl>
    <w:lvl w:ilvl="8" w:tplc="EA2E6E0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EF8771B"/>
    <w:multiLevelType w:val="hybridMultilevel"/>
    <w:tmpl w:val="F47AB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B05B77"/>
    <w:multiLevelType w:val="hybridMultilevel"/>
    <w:tmpl w:val="5A4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720AAB"/>
    <w:multiLevelType w:val="hybridMultilevel"/>
    <w:tmpl w:val="F034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734B5A"/>
    <w:multiLevelType w:val="hybridMultilevel"/>
    <w:tmpl w:val="FD9A9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20"/>
  </w:num>
  <w:num w:numId="5">
    <w:abstractNumId w:val="19"/>
  </w:num>
  <w:num w:numId="6">
    <w:abstractNumId w:val="4"/>
  </w:num>
  <w:num w:numId="7">
    <w:abstractNumId w:val="7"/>
  </w:num>
  <w:num w:numId="8">
    <w:abstractNumId w:val="1"/>
  </w:num>
  <w:num w:numId="9">
    <w:abstractNumId w:val="11"/>
  </w:num>
  <w:num w:numId="10">
    <w:abstractNumId w:val="18"/>
  </w:num>
  <w:num w:numId="11">
    <w:abstractNumId w:val="6"/>
  </w:num>
  <w:num w:numId="12">
    <w:abstractNumId w:val="17"/>
  </w:num>
  <w:num w:numId="13">
    <w:abstractNumId w:val="8"/>
  </w:num>
  <w:num w:numId="14">
    <w:abstractNumId w:val="14"/>
  </w:num>
  <w:num w:numId="15">
    <w:abstractNumId w:val="16"/>
  </w:num>
  <w:num w:numId="16">
    <w:abstractNumId w:val="12"/>
  </w:num>
  <w:num w:numId="17">
    <w:abstractNumId w:val="10"/>
  </w:num>
  <w:num w:numId="18">
    <w:abstractNumId w:val="5"/>
  </w:num>
  <w:num w:numId="19">
    <w:abstractNumId w:val="15"/>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CC"/>
    <w:rsid w:val="00033905"/>
    <w:rsid w:val="00036D06"/>
    <w:rsid w:val="001332D4"/>
    <w:rsid w:val="001F0555"/>
    <w:rsid w:val="00201C19"/>
    <w:rsid w:val="00236151"/>
    <w:rsid w:val="00272757"/>
    <w:rsid w:val="002A4CC5"/>
    <w:rsid w:val="002A6ECC"/>
    <w:rsid w:val="003078E1"/>
    <w:rsid w:val="00385A02"/>
    <w:rsid w:val="00460652"/>
    <w:rsid w:val="00546201"/>
    <w:rsid w:val="005577EB"/>
    <w:rsid w:val="005B5368"/>
    <w:rsid w:val="0062354C"/>
    <w:rsid w:val="0066448E"/>
    <w:rsid w:val="0067048D"/>
    <w:rsid w:val="00673BB4"/>
    <w:rsid w:val="00683460"/>
    <w:rsid w:val="006A707B"/>
    <w:rsid w:val="006C4BBE"/>
    <w:rsid w:val="006F0A0E"/>
    <w:rsid w:val="00702CC9"/>
    <w:rsid w:val="00704809"/>
    <w:rsid w:val="00732F2B"/>
    <w:rsid w:val="008422C9"/>
    <w:rsid w:val="008926DE"/>
    <w:rsid w:val="008F293A"/>
    <w:rsid w:val="00965D2D"/>
    <w:rsid w:val="00996A3F"/>
    <w:rsid w:val="009B5E24"/>
    <w:rsid w:val="00A24FA9"/>
    <w:rsid w:val="00A57787"/>
    <w:rsid w:val="00B429B5"/>
    <w:rsid w:val="00B46C23"/>
    <w:rsid w:val="00B646BB"/>
    <w:rsid w:val="00B85E90"/>
    <w:rsid w:val="00B948D1"/>
    <w:rsid w:val="00C20553"/>
    <w:rsid w:val="00C75A0B"/>
    <w:rsid w:val="00D9082C"/>
    <w:rsid w:val="00DE7F89"/>
    <w:rsid w:val="00EC1825"/>
    <w:rsid w:val="00F73CE8"/>
    <w:rsid w:val="00F76FAE"/>
    <w:rsid w:val="00F8506E"/>
    <w:rsid w:val="00FB47E4"/>
    <w:rsid w:val="00FC0B1D"/>
    <w:rsid w:val="00FF2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F9F7CEE"/>
  <w15:chartTrackingRefBased/>
  <w15:docId w15:val="{B61A8C54-38A9-453A-BFDE-C4552EAC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66448E"/>
    <w:pPr>
      <w:spacing w:before="40" w:after="40"/>
    </w:pPr>
    <w:rPr>
      <w:rFonts w:ascii="Arial" w:hAnsi="Arial"/>
    </w:rPr>
    <w:tblPr>
      <w:tblBorders>
        <w:insideH w:val="single" w:sz="4" w:space="0" w:color="A5A5A5"/>
      </w:tblBorders>
    </w:tblPr>
    <w:tcPr>
      <w:shd w:val="clear" w:color="auto" w:fill="auto"/>
    </w:tcPr>
    <w:tblStylePr w:type="firstRow">
      <w:rPr>
        <w:rFonts w:ascii="Arial" w:hAnsi="Arial"/>
        <w:b/>
        <w:color w:val="FFFFFF"/>
        <w:sz w:val="20"/>
      </w:rPr>
      <w:tblPr/>
      <w:tcPr>
        <w:tcBorders>
          <w:top w:val="nil"/>
          <w:left w:val="single" w:sz="4" w:space="0" w:color="808000"/>
          <w:bottom w:val="nil"/>
          <w:right w:val="single" w:sz="4" w:space="0" w:color="808000"/>
          <w:insideH w:val="nil"/>
          <w:insideV w:val="single" w:sz="4" w:space="0" w:color="FFFFFF"/>
          <w:tl2br w:val="nil"/>
          <w:tr2bl w:val="nil"/>
        </w:tcBorders>
        <w:shd w:val="clear" w:color="auto" w:fill="808000"/>
      </w:tcPr>
    </w:tblStylePr>
    <w:tblStylePr w:type="lastRow">
      <w:tblPr/>
      <w:tcPr>
        <w:shd w:val="clear" w:color="auto" w:fill="auto"/>
      </w:tcPr>
    </w:tblStylePr>
  </w:style>
  <w:style w:type="paragraph" w:styleId="Header">
    <w:name w:val="header"/>
    <w:basedOn w:val="Normal"/>
    <w:link w:val="HeaderChar"/>
    <w:uiPriority w:val="99"/>
    <w:unhideWhenUsed/>
    <w:rsid w:val="00704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809"/>
  </w:style>
  <w:style w:type="paragraph" w:styleId="Footer">
    <w:name w:val="footer"/>
    <w:basedOn w:val="Normal"/>
    <w:link w:val="FooterChar"/>
    <w:uiPriority w:val="99"/>
    <w:unhideWhenUsed/>
    <w:rsid w:val="00704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809"/>
  </w:style>
  <w:style w:type="paragraph" w:customStyle="1" w:styleId="Body">
    <w:name w:val="Body"/>
    <w:rsid w:val="0067048D"/>
    <w:pPr>
      <w:tabs>
        <w:tab w:val="left" w:pos="283"/>
      </w:tabs>
      <w:outlineLvl w:val="0"/>
    </w:pPr>
    <w:rPr>
      <w:rFonts w:ascii="Helvetica" w:eastAsia="ヒラギノ角ゴ Pro W3" w:hAnsi="Helvetica"/>
      <w:color w:val="000000"/>
      <w:sz w:val="24"/>
      <w:lang w:val="en-US"/>
    </w:rPr>
  </w:style>
  <w:style w:type="paragraph" w:customStyle="1" w:styleId="FreeForm">
    <w:name w:val="Free Form"/>
    <w:autoRedefine/>
    <w:rsid w:val="0067048D"/>
    <w:pPr>
      <w:outlineLvl w:val="0"/>
    </w:pPr>
    <w:rPr>
      <w:rFonts w:ascii="Helvetica" w:eastAsia="ヒラギノ角ゴ Pro W3" w:hAnsi="Helvetica"/>
      <w:color w:val="000000"/>
      <w:sz w:val="24"/>
      <w:lang w:val="en-US"/>
    </w:rPr>
  </w:style>
  <w:style w:type="character" w:styleId="Hyperlink">
    <w:name w:val="Hyperlink"/>
    <w:uiPriority w:val="99"/>
    <w:unhideWhenUsed/>
    <w:rsid w:val="0067048D"/>
    <w:rPr>
      <w:color w:val="0000FF"/>
      <w:u w:val="single"/>
    </w:rPr>
  </w:style>
  <w:style w:type="paragraph" w:customStyle="1" w:styleId="Default">
    <w:name w:val="Default"/>
    <w:rsid w:val="0067048D"/>
    <w:pPr>
      <w:autoSpaceDE w:val="0"/>
      <w:autoSpaceDN w:val="0"/>
      <w:adjustRightInd w:val="0"/>
    </w:pPr>
    <w:rPr>
      <w:rFonts w:ascii="Georgia" w:eastAsia="Times New Roman" w:hAnsi="Georgia" w:cs="Georgia"/>
      <w:color w:val="000000"/>
      <w:sz w:val="24"/>
      <w:szCs w:val="24"/>
    </w:rPr>
  </w:style>
  <w:style w:type="paragraph" w:styleId="BalloonText">
    <w:name w:val="Balloon Text"/>
    <w:basedOn w:val="Normal"/>
    <w:link w:val="BalloonTextChar"/>
    <w:rsid w:val="00732F2B"/>
    <w:pPr>
      <w:spacing w:after="0" w:line="240" w:lineRule="auto"/>
    </w:pPr>
    <w:rPr>
      <w:rFonts w:ascii="Segoe UI" w:eastAsia="Times New Roman" w:hAnsi="Segoe UI" w:cs="Segoe UI"/>
      <w:sz w:val="18"/>
      <w:szCs w:val="18"/>
      <w:lang w:val="en-US"/>
    </w:rPr>
  </w:style>
  <w:style w:type="character" w:customStyle="1" w:styleId="BalloonTextChar">
    <w:name w:val="Balloon Text Char"/>
    <w:link w:val="BalloonText"/>
    <w:rsid w:val="00732F2B"/>
    <w:rPr>
      <w:rFonts w:ascii="Segoe UI" w:eastAsia="Times New Roman" w:hAnsi="Segoe UI" w:cs="Segoe UI"/>
      <w:sz w:val="18"/>
      <w:szCs w:val="18"/>
      <w:lang w:val="en-US" w:eastAsia="en-US"/>
    </w:rPr>
  </w:style>
  <w:style w:type="paragraph" w:styleId="ListParagraph">
    <w:name w:val="List Paragraph"/>
    <w:basedOn w:val="Normal"/>
    <w:uiPriority w:val="34"/>
    <w:qFormat/>
    <w:rsid w:val="00732F2B"/>
    <w:pPr>
      <w:ind w:left="720"/>
    </w:pPr>
  </w:style>
  <w:style w:type="table" w:styleId="TableGrid">
    <w:name w:val="Table Grid"/>
    <w:basedOn w:val="TableNormal"/>
    <w:uiPriority w:val="39"/>
    <w:rsid w:val="002A4C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26DE"/>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8926DE"/>
    <w:rPr>
      <w:color w:val="954F72" w:themeColor="followedHyperlink"/>
      <w:u w:val="single"/>
    </w:rPr>
  </w:style>
  <w:style w:type="character" w:styleId="UnresolvedMention">
    <w:name w:val="Unresolved Mention"/>
    <w:basedOn w:val="DefaultParagraphFont"/>
    <w:uiPriority w:val="99"/>
    <w:semiHidden/>
    <w:unhideWhenUsed/>
    <w:rsid w:val="00842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16666">
      <w:bodyDiv w:val="1"/>
      <w:marLeft w:val="0"/>
      <w:marRight w:val="0"/>
      <w:marTop w:val="0"/>
      <w:marBottom w:val="0"/>
      <w:divBdr>
        <w:top w:val="none" w:sz="0" w:space="0" w:color="auto"/>
        <w:left w:val="none" w:sz="0" w:space="0" w:color="auto"/>
        <w:bottom w:val="none" w:sz="0" w:space="0" w:color="auto"/>
        <w:right w:val="none" w:sz="0" w:space="0" w:color="auto"/>
      </w:divBdr>
    </w:div>
    <w:div w:id="923612330">
      <w:bodyDiv w:val="1"/>
      <w:marLeft w:val="0"/>
      <w:marRight w:val="0"/>
      <w:marTop w:val="0"/>
      <w:marBottom w:val="0"/>
      <w:divBdr>
        <w:top w:val="none" w:sz="0" w:space="0" w:color="auto"/>
        <w:left w:val="none" w:sz="0" w:space="0" w:color="auto"/>
        <w:bottom w:val="none" w:sz="0" w:space="0" w:color="auto"/>
        <w:right w:val="none" w:sz="0" w:space="0" w:color="auto"/>
      </w:divBdr>
    </w:div>
    <w:div w:id="147548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irsociety.org.uk/events/dinn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rsociety.org.uk/resources/best-practic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ate.heseltine@irsociety.org.uk" TargetMode="External"/><Relationship Id="rId4" Type="http://schemas.openxmlformats.org/officeDocument/2006/relationships/webSettings" Target="webSettings.xml"/><Relationship Id="rId9" Type="http://schemas.openxmlformats.org/officeDocument/2006/relationships/hyperlink" Target="https://irsociety.org.uk/about/board-and-committees/category/best-practice-committe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Burger</dc:creator>
  <cp:keywords/>
  <dc:description/>
  <cp:lastModifiedBy>Robert Dann</cp:lastModifiedBy>
  <cp:revision>5</cp:revision>
  <cp:lastPrinted>2019-01-31T10:41:00Z</cp:lastPrinted>
  <dcterms:created xsi:type="dcterms:W3CDTF">2020-03-31T12:38:00Z</dcterms:created>
  <dcterms:modified xsi:type="dcterms:W3CDTF">2020-03-31T15:22:00Z</dcterms:modified>
</cp:coreProperties>
</file>