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E9209" w14:textId="4B5142E4" w:rsidR="00E3519C" w:rsidRPr="00E3519C" w:rsidRDefault="00B948D1" w:rsidP="00E3519C">
      <w:pPr>
        <w:rPr>
          <w:rFonts w:ascii="Century Gothic" w:eastAsiaTheme="majorEastAsia" w:hAnsi="Century Gothic" w:cstheme="minorHAnsi"/>
          <w:b/>
          <w:color w:val="2F5496" w:themeColor="accent1" w:themeShade="BF"/>
          <w:sz w:val="32"/>
          <w:szCs w:val="32"/>
        </w:rPr>
      </w:pPr>
      <w:r w:rsidRPr="00E3519C">
        <w:rPr>
          <w:rFonts w:ascii="Century Gothic" w:hAnsi="Century Gothic" w:cs="Calibri"/>
          <w:bCs/>
          <w:sz w:val="20"/>
          <w:szCs w:val="20"/>
        </w:rPr>
        <w:br/>
      </w:r>
      <w:r w:rsidR="00E3519C" w:rsidRPr="00C9526A">
        <w:rPr>
          <w:rFonts w:ascii="Century Gothic" w:hAnsi="Century Gothic" w:cs="Arial"/>
          <w:b/>
          <w:bCs/>
          <w:color w:val="00B0F0"/>
          <w:sz w:val="36"/>
          <w:szCs w:val="24"/>
        </w:rPr>
        <w:t>202</w:t>
      </w:r>
      <w:r w:rsidR="00DE7F99">
        <w:rPr>
          <w:rFonts w:ascii="Century Gothic" w:hAnsi="Century Gothic" w:cs="Arial"/>
          <w:b/>
          <w:bCs/>
          <w:color w:val="00B0F0"/>
          <w:sz w:val="36"/>
          <w:szCs w:val="24"/>
        </w:rPr>
        <w:t>1</w:t>
      </w:r>
      <w:r w:rsidR="00E3519C" w:rsidRPr="00C9526A">
        <w:rPr>
          <w:rFonts w:ascii="Century Gothic" w:hAnsi="Century Gothic" w:cs="Arial"/>
          <w:b/>
          <w:bCs/>
          <w:color w:val="00B0F0"/>
          <w:sz w:val="36"/>
          <w:szCs w:val="24"/>
        </w:rPr>
        <w:t xml:space="preserve"> – </w:t>
      </w:r>
      <w:r w:rsidR="008E753F">
        <w:rPr>
          <w:rFonts w:ascii="Century Gothic" w:hAnsi="Century Gothic" w:cs="Arial"/>
          <w:b/>
          <w:bCs/>
          <w:color w:val="00B0F0"/>
          <w:sz w:val="36"/>
          <w:szCs w:val="24"/>
        </w:rPr>
        <w:t>Best Innovation in IR</w:t>
      </w:r>
      <w:r w:rsidR="00E3519C" w:rsidRPr="00E3519C">
        <w:rPr>
          <w:rFonts w:ascii="Century Gothic" w:eastAsiaTheme="majorEastAsia" w:hAnsi="Century Gothic" w:cstheme="minorHAnsi"/>
          <w:b/>
          <w:color w:val="2F5496" w:themeColor="accent1" w:themeShade="BF"/>
          <w:sz w:val="32"/>
          <w:szCs w:val="32"/>
        </w:rPr>
        <w:t xml:space="preserve"> </w:t>
      </w:r>
      <w:r w:rsidR="00E3519C" w:rsidRPr="00E3519C">
        <w:rPr>
          <w:rFonts w:ascii="Century Gothic" w:hAnsi="Century Gothic"/>
        </w:rPr>
        <w:t xml:space="preserve"> </w:t>
      </w:r>
    </w:p>
    <w:p w14:paraId="7BF5530F" w14:textId="74121529" w:rsidR="00E3519C" w:rsidRPr="00A62158" w:rsidRDefault="00E3519C" w:rsidP="00E3519C">
      <w:pPr>
        <w:rPr>
          <w:rFonts w:ascii="Century Gothic" w:hAnsi="Century Gothic"/>
          <w:i/>
        </w:rPr>
      </w:pPr>
      <w:r w:rsidRPr="00A62158">
        <w:rPr>
          <w:rFonts w:ascii="Century Gothic" w:hAnsi="Century Gothic"/>
          <w:b/>
          <w:i/>
        </w:rPr>
        <w:t>Categories:</w:t>
      </w:r>
      <w:r w:rsidRPr="00A62158">
        <w:rPr>
          <w:rFonts w:ascii="Century Gothic" w:hAnsi="Century Gothic"/>
          <w:i/>
        </w:rPr>
        <w:t xml:space="preserve"> </w:t>
      </w:r>
      <w:r w:rsidR="008E3FF5" w:rsidRPr="00A62158">
        <w:rPr>
          <w:rFonts w:ascii="Century Gothic" w:hAnsi="Century Gothic"/>
          <w:i/>
        </w:rPr>
        <w:t>Small-, Mid-, and Large-cap Listed Companies</w:t>
      </w:r>
    </w:p>
    <w:p w14:paraId="0D8066F4" w14:textId="77777777" w:rsidR="00E3519C" w:rsidRPr="00C9526A" w:rsidRDefault="00E3519C" w:rsidP="00E3519C">
      <w:pPr>
        <w:rPr>
          <w:rFonts w:ascii="Century Gothic" w:hAnsi="Century Gothic" w:cs="Arial"/>
          <w:b/>
          <w:bCs/>
          <w:color w:val="00B0F0"/>
          <w:sz w:val="24"/>
          <w:szCs w:val="24"/>
        </w:rPr>
      </w:pPr>
      <w:r w:rsidRPr="00C9526A">
        <w:rPr>
          <w:rFonts w:ascii="Century Gothic" w:hAnsi="Century Gothic" w:cs="Arial"/>
          <w:b/>
          <w:bCs/>
          <w:color w:val="00B0F0"/>
          <w:sz w:val="24"/>
          <w:szCs w:val="24"/>
        </w:rPr>
        <w:t xml:space="preserve">IR Principles </w:t>
      </w:r>
    </w:p>
    <w:p w14:paraId="11FA65E7" w14:textId="25A8B090" w:rsidR="00E3519C" w:rsidRPr="00E3519C" w:rsidRDefault="00E3519C" w:rsidP="00E3519C">
      <w:pPr>
        <w:rPr>
          <w:rFonts w:ascii="Century Gothic" w:hAnsi="Century Gothic"/>
        </w:rPr>
      </w:pPr>
      <w:r w:rsidRPr="00E3519C">
        <w:rPr>
          <w:rFonts w:ascii="Century Gothic" w:hAnsi="Century Gothic"/>
        </w:rPr>
        <w:t>Please note that for all awards categories, companies need to emphasise how</w:t>
      </w:r>
      <w:r w:rsidR="005B67FC">
        <w:rPr>
          <w:rFonts w:ascii="Century Gothic" w:hAnsi="Century Gothic"/>
        </w:rPr>
        <w:t xml:space="preserve"> they</w:t>
      </w:r>
      <w:r w:rsidRPr="00E3519C">
        <w:rPr>
          <w:rFonts w:ascii="Century Gothic" w:hAnsi="Century Gothic"/>
        </w:rPr>
        <w:t xml:space="preserve"> have successfully addressed the following IR principles: </w:t>
      </w:r>
    </w:p>
    <w:p w14:paraId="4E23F86D" w14:textId="77777777" w:rsidR="00E3519C" w:rsidRPr="00E3519C" w:rsidRDefault="00E3519C" w:rsidP="00E3519C">
      <w:pPr>
        <w:pStyle w:val="ListParagraph"/>
        <w:numPr>
          <w:ilvl w:val="0"/>
          <w:numId w:val="16"/>
        </w:numPr>
        <w:contextualSpacing/>
        <w:rPr>
          <w:rFonts w:ascii="Century Gothic" w:hAnsi="Century Gothic"/>
        </w:rPr>
      </w:pPr>
      <w:r w:rsidRPr="00E3519C">
        <w:rPr>
          <w:rFonts w:ascii="Century Gothic" w:hAnsi="Century Gothic"/>
        </w:rPr>
        <w:t xml:space="preserve">Having an equity story and investment case that are clearly communicated across all stakeholders and deliver long-term value creation </w:t>
      </w:r>
    </w:p>
    <w:p w14:paraId="54FE5F90" w14:textId="77777777" w:rsidR="00E3519C" w:rsidRPr="00E3519C" w:rsidRDefault="00E3519C" w:rsidP="00E3519C">
      <w:pPr>
        <w:pStyle w:val="ListParagraph"/>
        <w:numPr>
          <w:ilvl w:val="0"/>
          <w:numId w:val="16"/>
        </w:numPr>
        <w:contextualSpacing/>
        <w:rPr>
          <w:rFonts w:ascii="Century Gothic" w:hAnsi="Century Gothic"/>
        </w:rPr>
      </w:pPr>
      <w:r w:rsidRPr="00E3519C">
        <w:rPr>
          <w:rFonts w:ascii="Century Gothic" w:hAnsi="Century Gothic"/>
        </w:rPr>
        <w:t>Helping investors, analysts and others to understand the growth and value drivers of a company, such that there is a fair and orderly market in its shares</w:t>
      </w:r>
    </w:p>
    <w:p w14:paraId="3DA4FBB8" w14:textId="77777777" w:rsidR="00E3519C" w:rsidRPr="00E3519C" w:rsidRDefault="00E3519C" w:rsidP="00E3519C">
      <w:pPr>
        <w:pStyle w:val="ListParagraph"/>
        <w:numPr>
          <w:ilvl w:val="0"/>
          <w:numId w:val="16"/>
        </w:numPr>
        <w:contextualSpacing/>
        <w:rPr>
          <w:rFonts w:ascii="Century Gothic" w:hAnsi="Century Gothic"/>
        </w:rPr>
      </w:pPr>
      <w:r w:rsidRPr="00E3519C">
        <w:rPr>
          <w:rFonts w:ascii="Century Gothic" w:hAnsi="Century Gothic"/>
        </w:rPr>
        <w:t>Meeting or exceeding all regulatory requirements around disclosure and focusing on greater transparency of information both internally and externally</w:t>
      </w:r>
    </w:p>
    <w:p w14:paraId="7D59849A" w14:textId="77777777" w:rsidR="00E3519C" w:rsidRPr="00C9526A" w:rsidRDefault="00E3519C" w:rsidP="00E3519C">
      <w:pPr>
        <w:rPr>
          <w:rFonts w:ascii="Century Gothic" w:hAnsi="Century Gothic" w:cs="Arial"/>
          <w:b/>
          <w:bCs/>
          <w:color w:val="00B0F0"/>
          <w:sz w:val="24"/>
          <w:szCs w:val="24"/>
        </w:rPr>
      </w:pPr>
      <w:r w:rsidRPr="00C9526A">
        <w:rPr>
          <w:rFonts w:ascii="Century Gothic" w:hAnsi="Century Gothic" w:cs="Arial"/>
          <w:b/>
          <w:bCs/>
          <w:color w:val="00B0F0"/>
          <w:sz w:val="24"/>
          <w:szCs w:val="24"/>
        </w:rPr>
        <w:t xml:space="preserve">Award Description </w:t>
      </w:r>
    </w:p>
    <w:p w14:paraId="277DD566" w14:textId="009ECDA7" w:rsidR="00C345E8" w:rsidRPr="00C345E8" w:rsidRDefault="00C345E8" w:rsidP="00673C4D">
      <w:pPr>
        <w:rPr>
          <w:rFonts w:ascii="Century Gothic" w:hAnsi="Century Gothic"/>
        </w:rPr>
      </w:pPr>
      <w:r w:rsidRPr="00C345E8">
        <w:rPr>
          <w:rFonts w:ascii="Century Gothic" w:hAnsi="Century Gothic"/>
        </w:rPr>
        <w:t>Investor relations can sometimes be viewed as quite archaic in terms of its processes. Things are done a certain way simply because they have always been done that way. March last year saw a shock to the system like never before, personally and professionally</w:t>
      </w:r>
      <w:r w:rsidR="005B67FC">
        <w:rPr>
          <w:rFonts w:ascii="Century Gothic" w:hAnsi="Century Gothic"/>
        </w:rPr>
        <w:t>.</w:t>
      </w:r>
      <w:r w:rsidRPr="00C345E8">
        <w:rPr>
          <w:rFonts w:ascii="Century Gothic" w:hAnsi="Century Gothic"/>
        </w:rPr>
        <w:t xml:space="preserve"> Covid turned our </w:t>
      </w:r>
      <w:r w:rsidR="00206572">
        <w:rPr>
          <w:rFonts w:ascii="Century Gothic" w:hAnsi="Century Gothic"/>
        </w:rPr>
        <w:t>worlds</w:t>
      </w:r>
      <w:r w:rsidR="00206572" w:rsidRPr="00C345E8">
        <w:rPr>
          <w:rFonts w:ascii="Century Gothic" w:hAnsi="Century Gothic"/>
        </w:rPr>
        <w:t xml:space="preserve"> </w:t>
      </w:r>
      <w:r w:rsidRPr="00C345E8">
        <w:rPr>
          <w:rFonts w:ascii="Century Gothic" w:hAnsi="Century Gothic"/>
        </w:rPr>
        <w:t>upside down and we had to adapt and adapt quickly…as Plato wrote “our need will be the real creator”. </w:t>
      </w:r>
    </w:p>
    <w:p w14:paraId="7292501B" w14:textId="64CA9F5B" w:rsidR="00C345E8" w:rsidRPr="00C345E8" w:rsidRDefault="00C345E8" w:rsidP="00673C4D">
      <w:pPr>
        <w:rPr>
          <w:rFonts w:ascii="Century Gothic" w:hAnsi="Century Gothic"/>
        </w:rPr>
      </w:pPr>
      <w:r w:rsidRPr="00C345E8">
        <w:rPr>
          <w:rFonts w:ascii="Century Gothic" w:hAnsi="Century Gothic"/>
        </w:rPr>
        <w:t xml:space="preserve">With this category, the Society is seeking examples of innovation, transformation, and modernisation which </w:t>
      </w:r>
      <w:r w:rsidR="00206572">
        <w:rPr>
          <w:rFonts w:ascii="Century Gothic" w:hAnsi="Century Gothic"/>
        </w:rPr>
        <w:t>have</w:t>
      </w:r>
      <w:r w:rsidR="00206572" w:rsidRPr="00C345E8">
        <w:rPr>
          <w:rFonts w:ascii="Century Gothic" w:hAnsi="Century Gothic"/>
        </w:rPr>
        <w:t xml:space="preserve"> </w:t>
      </w:r>
      <w:r w:rsidRPr="00C345E8">
        <w:rPr>
          <w:rFonts w:ascii="Century Gothic" w:hAnsi="Century Gothic"/>
        </w:rPr>
        <w:t>taken place over the last 12-18 months.</w:t>
      </w:r>
    </w:p>
    <w:p w14:paraId="7218077A" w14:textId="58630F23" w:rsidR="00C345E8" w:rsidRPr="00C345E8" w:rsidRDefault="00C345E8" w:rsidP="00673C4D">
      <w:pPr>
        <w:rPr>
          <w:rFonts w:ascii="Century Gothic" w:hAnsi="Century Gothic"/>
        </w:rPr>
      </w:pPr>
      <w:r w:rsidRPr="00C345E8">
        <w:rPr>
          <w:rFonts w:ascii="Century Gothic" w:hAnsi="Century Gothic"/>
        </w:rPr>
        <w:t xml:space="preserve">The objective of this Award is to recognise and encourage continuous development </w:t>
      </w:r>
      <w:r w:rsidR="00AD7B18">
        <w:rPr>
          <w:rFonts w:ascii="Century Gothic" w:hAnsi="Century Gothic"/>
        </w:rPr>
        <w:t>and</w:t>
      </w:r>
      <w:r w:rsidRPr="00C345E8">
        <w:rPr>
          <w:rFonts w:ascii="Century Gothic" w:hAnsi="Century Gothic"/>
        </w:rPr>
        <w:t xml:space="preserve"> improvement in our industry. Whilst there can only be one winner in each category, all those that enter will demonstrate a commitment to driving the importance, efficiency and effectiveness of the profession</w:t>
      </w:r>
      <w:r w:rsidR="00840018">
        <w:rPr>
          <w:rFonts w:ascii="Century Gothic" w:hAnsi="Century Gothic"/>
        </w:rPr>
        <w:t>,</w:t>
      </w:r>
      <w:r w:rsidRPr="00C345E8">
        <w:rPr>
          <w:rFonts w:ascii="Century Gothic" w:hAnsi="Century Gothic"/>
        </w:rPr>
        <w:t xml:space="preserve"> and in turn hopefully attract a new generation of diverse talent.</w:t>
      </w:r>
    </w:p>
    <w:p w14:paraId="7C7DD067" w14:textId="452AAC8E" w:rsidR="00F06FDA" w:rsidRPr="00F06FDA" w:rsidRDefault="00F06FDA" w:rsidP="00F06FDA">
      <w:pPr>
        <w:rPr>
          <w:rFonts w:ascii="Century Gothic" w:hAnsi="Century Gothic" w:cs="Arial"/>
          <w:b/>
          <w:bCs/>
          <w:color w:val="00B0F0"/>
          <w:sz w:val="24"/>
          <w:szCs w:val="24"/>
        </w:rPr>
      </w:pPr>
      <w:r w:rsidRPr="00C9526A">
        <w:rPr>
          <w:rFonts w:ascii="Century Gothic" w:hAnsi="Century Gothic" w:cs="Arial"/>
          <w:b/>
          <w:bCs/>
          <w:color w:val="00B0F0"/>
          <w:sz w:val="24"/>
          <w:szCs w:val="24"/>
        </w:rPr>
        <w:t>AWARD CRITERIA</w:t>
      </w:r>
    </w:p>
    <w:p w14:paraId="25534C23" w14:textId="4093ADC2" w:rsidR="00C345E8" w:rsidRPr="00C345E8" w:rsidRDefault="00C345E8" w:rsidP="009B1527">
      <w:pPr>
        <w:spacing w:after="0" w:line="240" w:lineRule="auto"/>
        <w:rPr>
          <w:rFonts w:eastAsia="Times New Roman"/>
          <w:color w:val="000000"/>
          <w:lang w:val="en-GB" w:eastAsia="en-GB"/>
        </w:rPr>
      </w:pPr>
      <w:r w:rsidRPr="00C345E8">
        <w:rPr>
          <w:rFonts w:ascii="Century Gothic" w:hAnsi="Century Gothic"/>
        </w:rPr>
        <w:t>In sharing your example of innovation, please provide as much detail as you can on each of the following stages:</w:t>
      </w:r>
    </w:p>
    <w:p w14:paraId="079C91DE" w14:textId="6B48A7E0" w:rsidR="00C345E8" w:rsidRPr="009B1527" w:rsidRDefault="00C345E8" w:rsidP="009B1527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 w:rsidRPr="009B1527">
        <w:rPr>
          <w:rFonts w:ascii="Century Gothic" w:hAnsi="Century Gothic"/>
        </w:rPr>
        <w:t>Discovery – what triggered the idea, was it a problem to be solved or an opportunity to be captured</w:t>
      </w:r>
      <w:r w:rsidR="00840018">
        <w:rPr>
          <w:rFonts w:ascii="Century Gothic" w:hAnsi="Century Gothic"/>
        </w:rPr>
        <w:t>?</w:t>
      </w:r>
    </w:p>
    <w:p w14:paraId="1C949923" w14:textId="56C212FD" w:rsidR="00C345E8" w:rsidRPr="009B1527" w:rsidRDefault="00C345E8" w:rsidP="009B1527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 w:rsidRPr="009B1527">
        <w:rPr>
          <w:rFonts w:ascii="Century Gothic" w:hAnsi="Century Gothic"/>
        </w:rPr>
        <w:t>Evaluation – what research was completed to facilitate the development of the idea and test its feasibility</w:t>
      </w:r>
      <w:r w:rsidR="00F01EB4">
        <w:rPr>
          <w:rFonts w:ascii="Century Gothic" w:hAnsi="Century Gothic"/>
        </w:rPr>
        <w:t>,</w:t>
      </w:r>
      <w:r w:rsidRPr="009B1527">
        <w:rPr>
          <w:rFonts w:ascii="Century Gothic" w:hAnsi="Century Gothic"/>
        </w:rPr>
        <w:t xml:space="preserve"> how </w:t>
      </w:r>
      <w:r w:rsidR="00F01EB4">
        <w:rPr>
          <w:rFonts w:ascii="Century Gothic" w:hAnsi="Century Gothic"/>
        </w:rPr>
        <w:t>and</w:t>
      </w:r>
      <w:r w:rsidRPr="009B1527">
        <w:rPr>
          <w:rFonts w:ascii="Century Gothic" w:hAnsi="Century Gothic"/>
        </w:rPr>
        <w:t xml:space="preserve"> who was it discussed with, how was it tested and how was it evaluated (internally and externally)</w:t>
      </w:r>
      <w:r w:rsidR="00840018">
        <w:rPr>
          <w:rFonts w:ascii="Century Gothic" w:hAnsi="Century Gothic"/>
        </w:rPr>
        <w:t>?</w:t>
      </w:r>
    </w:p>
    <w:p w14:paraId="0BC3A2FE" w14:textId="2765546C" w:rsidR="00C345E8" w:rsidRPr="009B1527" w:rsidRDefault="00C345E8" w:rsidP="009B1527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 w:rsidRPr="009B1527">
        <w:rPr>
          <w:rFonts w:ascii="Century Gothic" w:hAnsi="Century Gothic"/>
        </w:rPr>
        <w:t>Execution - provide an indication of the time, money, process and resources involved to make the innovation happen</w:t>
      </w:r>
      <w:r w:rsidR="00840018">
        <w:rPr>
          <w:rFonts w:ascii="Century Gothic" w:hAnsi="Century Gothic"/>
        </w:rPr>
        <w:t>.</w:t>
      </w:r>
    </w:p>
    <w:p w14:paraId="15DF233D" w14:textId="6C647D3E" w:rsidR="00C345E8" w:rsidRPr="009B1527" w:rsidRDefault="00C345E8" w:rsidP="009B1527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 w:rsidRPr="009B1527">
        <w:rPr>
          <w:rFonts w:ascii="Century Gothic" w:hAnsi="Century Gothic"/>
        </w:rPr>
        <w:lastRenderedPageBreak/>
        <w:t xml:space="preserve">Effectiveness – provide </w:t>
      </w:r>
      <w:r w:rsidR="00D359A9">
        <w:rPr>
          <w:rFonts w:ascii="Century Gothic" w:hAnsi="Century Gothic"/>
        </w:rPr>
        <w:t xml:space="preserve">an </w:t>
      </w:r>
      <w:r w:rsidRPr="009B1527">
        <w:rPr>
          <w:rFonts w:ascii="Century Gothic" w:hAnsi="Century Gothic"/>
        </w:rPr>
        <w:t>indication of how the effectiveness of the innovation was/is being assessed</w:t>
      </w:r>
      <w:r w:rsidR="00D359A9">
        <w:rPr>
          <w:rFonts w:ascii="Century Gothic" w:hAnsi="Century Gothic"/>
        </w:rPr>
        <w:t>.</w:t>
      </w:r>
      <w:r w:rsidRPr="009B1527">
        <w:rPr>
          <w:rFonts w:ascii="Century Gothic" w:hAnsi="Century Gothic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519C" w:rsidRPr="00E3519C" w14:paraId="301B64FC" w14:textId="77777777" w:rsidTr="00104658">
        <w:tc>
          <w:tcPr>
            <w:tcW w:w="9016" w:type="dxa"/>
            <w:shd w:val="clear" w:color="auto" w:fill="4472C4"/>
          </w:tcPr>
          <w:p w14:paraId="6ED658D9" w14:textId="53EF73AF" w:rsidR="00E3519C" w:rsidRPr="00F5483D" w:rsidRDefault="00C345E8" w:rsidP="00104658">
            <w:pPr>
              <w:rPr>
                <w:rFonts w:ascii="Century Gothic" w:hAnsi="Century Gothic"/>
                <w:color w:val="FFFFFF" w:themeColor="background1"/>
                <w:lang w:val="en-GB"/>
              </w:rPr>
            </w:pPr>
            <w:r w:rsidRPr="00F5483D">
              <w:rPr>
                <w:rFonts w:ascii="Century Gothic" w:hAnsi="Century Gothic"/>
                <w:color w:val="FFFFFF" w:themeColor="background1"/>
                <w:lang w:val="en-GB"/>
              </w:rPr>
              <w:t>The list below includes, but is not limited to, areas that could be highlighted:</w:t>
            </w:r>
          </w:p>
        </w:tc>
      </w:tr>
      <w:tr w:rsidR="00E3519C" w:rsidRPr="00E3519C" w14:paraId="172B56C8" w14:textId="77777777" w:rsidTr="00104658">
        <w:trPr>
          <w:trHeight w:val="340"/>
        </w:trPr>
        <w:tc>
          <w:tcPr>
            <w:tcW w:w="9016" w:type="dxa"/>
            <w:vAlign w:val="center"/>
          </w:tcPr>
          <w:p w14:paraId="304C493D" w14:textId="052E0069" w:rsidR="00EE36C4" w:rsidRPr="00F5483D" w:rsidRDefault="00EE36C4" w:rsidP="00EE36C4">
            <w:pPr>
              <w:spacing w:after="0" w:line="240" w:lineRule="auto"/>
              <w:rPr>
                <w:rFonts w:ascii="Century Gothic" w:eastAsia="Times New Roman" w:hAnsi="Century Gothic"/>
                <w:color w:val="000000" w:themeColor="text1"/>
                <w:lang w:val="en-GB" w:eastAsia="en-GB"/>
              </w:rPr>
            </w:pPr>
            <w:r w:rsidRPr="00F5483D">
              <w:rPr>
                <w:rFonts w:ascii="Century Gothic" w:eastAsia="Times New Roman" w:hAnsi="Century Gothic"/>
                <w:color w:val="000000" w:themeColor="text1"/>
                <w:lang w:val="en-GB" w:eastAsia="en-GB"/>
              </w:rPr>
              <w:t>External communications and engagement</w:t>
            </w:r>
          </w:p>
          <w:p w14:paraId="1AA62E49" w14:textId="77777777" w:rsidR="00251B2B" w:rsidRPr="00F5483D" w:rsidRDefault="00251B2B" w:rsidP="00251B2B">
            <w:pPr>
              <w:pStyle w:val="xmsolistparagraph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Century Gothic" w:hAnsi="Century Gothic" w:cs="Segoe UI"/>
                <w:color w:val="000000" w:themeColor="text1"/>
                <w:sz w:val="22"/>
                <w:szCs w:val="22"/>
              </w:rPr>
            </w:pPr>
            <w:r w:rsidRPr="00F5483D">
              <w:rPr>
                <w:rFonts w:ascii="Century Gothic" w:hAnsi="Century Gothic" w:cs="Segoe UI"/>
                <w:color w:val="000000" w:themeColor="text1"/>
                <w:sz w:val="22"/>
                <w:szCs w:val="22"/>
              </w:rPr>
              <w:t>Website design/navigation/user experience</w:t>
            </w:r>
          </w:p>
          <w:p w14:paraId="744A6BFA" w14:textId="77777777" w:rsidR="00251B2B" w:rsidRPr="00F5483D" w:rsidRDefault="00251B2B" w:rsidP="00251B2B">
            <w:pPr>
              <w:pStyle w:val="xmsolistparagraph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Century Gothic" w:hAnsi="Century Gothic" w:cs="Segoe UI"/>
                <w:color w:val="000000" w:themeColor="text1"/>
                <w:sz w:val="22"/>
                <w:szCs w:val="22"/>
              </w:rPr>
            </w:pPr>
            <w:r w:rsidRPr="00F5483D">
              <w:rPr>
                <w:rFonts w:ascii="Century Gothic" w:hAnsi="Century Gothic" w:cs="Segoe UI"/>
                <w:color w:val="000000" w:themeColor="text1"/>
                <w:sz w:val="22"/>
                <w:szCs w:val="22"/>
              </w:rPr>
              <w:t>Reporting (annual report, sustainability report, strategic report)</w:t>
            </w:r>
          </w:p>
          <w:p w14:paraId="661D3E45" w14:textId="77777777" w:rsidR="00251B2B" w:rsidRPr="00F5483D" w:rsidRDefault="00251B2B" w:rsidP="00251B2B">
            <w:pPr>
              <w:pStyle w:val="xmsolistparagraph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Century Gothic" w:hAnsi="Century Gothic" w:cs="Segoe UI"/>
                <w:color w:val="000000" w:themeColor="text1"/>
                <w:sz w:val="22"/>
                <w:szCs w:val="22"/>
              </w:rPr>
            </w:pPr>
            <w:r w:rsidRPr="00F5483D">
              <w:rPr>
                <w:rFonts w:ascii="Century Gothic" w:hAnsi="Century Gothic" w:cs="Segoe UI"/>
                <w:color w:val="000000" w:themeColor="text1"/>
                <w:sz w:val="22"/>
                <w:szCs w:val="22"/>
              </w:rPr>
              <w:t>Access to company information</w:t>
            </w:r>
          </w:p>
          <w:p w14:paraId="17A00664" w14:textId="77777777" w:rsidR="001D3B8C" w:rsidRPr="00F5483D" w:rsidRDefault="00251B2B" w:rsidP="001D3B8C">
            <w:pPr>
              <w:pStyle w:val="xmsolistparagraph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Century Gothic" w:hAnsi="Century Gothic" w:cs="Segoe UI"/>
                <w:color w:val="000000" w:themeColor="text1"/>
                <w:sz w:val="22"/>
                <w:szCs w:val="22"/>
              </w:rPr>
            </w:pPr>
            <w:r w:rsidRPr="00F5483D">
              <w:rPr>
                <w:rFonts w:ascii="Century Gothic" w:hAnsi="Century Gothic" w:cs="Segoe UI"/>
                <w:color w:val="000000" w:themeColor="text1"/>
                <w:sz w:val="22"/>
                <w:szCs w:val="22"/>
              </w:rPr>
              <w:t>Capital markets events</w:t>
            </w:r>
          </w:p>
          <w:p w14:paraId="25FDDD9B" w14:textId="256B120B" w:rsidR="00E3519C" w:rsidRPr="00F5483D" w:rsidRDefault="00251B2B" w:rsidP="001D3B8C">
            <w:pPr>
              <w:pStyle w:val="xmsolistparagraph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Century Gothic" w:hAnsi="Century Gothic" w:cs="Segoe UI"/>
                <w:color w:val="000000" w:themeColor="text1"/>
                <w:sz w:val="22"/>
                <w:szCs w:val="22"/>
              </w:rPr>
            </w:pPr>
            <w:r w:rsidRPr="00F5483D">
              <w:rPr>
                <w:rFonts w:ascii="Century Gothic" w:hAnsi="Century Gothic" w:cs="Segoe UI"/>
                <w:color w:val="000000" w:themeColor="text1"/>
                <w:sz w:val="22"/>
                <w:szCs w:val="22"/>
              </w:rPr>
              <w:t>Engagement/access</w:t>
            </w:r>
          </w:p>
        </w:tc>
      </w:tr>
      <w:tr w:rsidR="00E3519C" w:rsidRPr="00E3519C" w14:paraId="2A9E9501" w14:textId="77777777" w:rsidTr="00104658">
        <w:trPr>
          <w:trHeight w:val="340"/>
        </w:trPr>
        <w:tc>
          <w:tcPr>
            <w:tcW w:w="9016" w:type="dxa"/>
            <w:vAlign w:val="center"/>
          </w:tcPr>
          <w:p w14:paraId="6D13B95E" w14:textId="77777777" w:rsidR="00FB3052" w:rsidRPr="00F5483D" w:rsidRDefault="001579BE" w:rsidP="00FB3052">
            <w:pPr>
              <w:spacing w:after="0" w:line="240" w:lineRule="auto"/>
              <w:rPr>
                <w:rFonts w:ascii="Century Gothic" w:hAnsi="Century Gothic"/>
                <w:color w:val="000000" w:themeColor="text1"/>
                <w:shd w:val="clear" w:color="auto" w:fill="FFFF00"/>
              </w:rPr>
            </w:pPr>
            <w:r w:rsidRPr="00F5483D">
              <w:rPr>
                <w:rFonts w:ascii="Century Gothic" w:hAnsi="Century Gothic"/>
                <w:color w:val="000000" w:themeColor="text1"/>
              </w:rPr>
              <w:t>Internal development and processes</w:t>
            </w:r>
          </w:p>
          <w:p w14:paraId="182EC9AA" w14:textId="17AAB4C8" w:rsidR="00FB3052" w:rsidRPr="00F5483D" w:rsidRDefault="00FB3052" w:rsidP="00FB305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/>
                <w:color w:val="000000" w:themeColor="text1"/>
                <w:sz w:val="24"/>
                <w:szCs w:val="24"/>
                <w:lang w:val="en-GB" w:eastAsia="en-GB"/>
              </w:rPr>
            </w:pPr>
            <w:r w:rsidRPr="00F5483D">
              <w:rPr>
                <w:rFonts w:ascii="Century Gothic" w:hAnsi="Century Gothic"/>
                <w:color w:val="000000" w:themeColor="text1"/>
              </w:rPr>
              <w:t xml:space="preserve">Building </w:t>
            </w:r>
            <w:r w:rsidR="00FA7368">
              <w:rPr>
                <w:rFonts w:ascii="Century Gothic" w:hAnsi="Century Gothic"/>
                <w:color w:val="000000" w:themeColor="text1"/>
              </w:rPr>
              <w:t xml:space="preserve">the </w:t>
            </w:r>
            <w:r w:rsidRPr="00F5483D">
              <w:rPr>
                <w:rFonts w:ascii="Century Gothic" w:hAnsi="Century Gothic"/>
                <w:color w:val="000000" w:themeColor="text1"/>
              </w:rPr>
              <w:t>profile of IR with the Board</w:t>
            </w:r>
          </w:p>
          <w:p w14:paraId="11EB39AE" w14:textId="5E275CE1" w:rsidR="00FB3052" w:rsidRPr="00F5483D" w:rsidRDefault="001579BE" w:rsidP="00FB305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/>
                <w:color w:val="000000" w:themeColor="text1"/>
                <w:sz w:val="24"/>
                <w:szCs w:val="24"/>
                <w:lang w:val="en-GB" w:eastAsia="en-GB"/>
              </w:rPr>
            </w:pPr>
            <w:r w:rsidRPr="00F5483D">
              <w:rPr>
                <w:rFonts w:ascii="Century Gothic" w:hAnsi="Century Gothic"/>
                <w:color w:val="000000" w:themeColor="text1"/>
              </w:rPr>
              <w:t>Collaboration with other department</w:t>
            </w:r>
            <w:r w:rsidR="00FB3052" w:rsidRPr="00F5483D">
              <w:rPr>
                <w:rFonts w:ascii="Century Gothic" w:hAnsi="Century Gothic"/>
                <w:color w:val="000000" w:themeColor="text1"/>
              </w:rPr>
              <w:t>s</w:t>
            </w:r>
            <w:r w:rsidR="008C2365">
              <w:rPr>
                <w:rFonts w:ascii="Century Gothic" w:hAnsi="Century Gothic"/>
                <w:color w:val="000000" w:themeColor="text1"/>
              </w:rPr>
              <w:t xml:space="preserve"> - strategy, sustainability, co sec, finance</w:t>
            </w:r>
            <w:r w:rsidR="00206572">
              <w:rPr>
                <w:rFonts w:ascii="Century Gothic" w:hAnsi="Century Gothic"/>
                <w:color w:val="000000" w:themeColor="text1"/>
              </w:rPr>
              <w:t>,</w:t>
            </w:r>
            <w:r w:rsidR="008C2365">
              <w:rPr>
                <w:rFonts w:ascii="Century Gothic" w:hAnsi="Century Gothic"/>
                <w:color w:val="000000" w:themeColor="text1"/>
              </w:rPr>
              <w:t xml:space="preserve"> etc. </w:t>
            </w:r>
          </w:p>
          <w:p w14:paraId="74ACF777" w14:textId="6C01B54A" w:rsidR="00E3519C" w:rsidRPr="00F5483D" w:rsidRDefault="001579BE" w:rsidP="00C345E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/>
                <w:color w:val="000000" w:themeColor="text1"/>
                <w:sz w:val="24"/>
                <w:szCs w:val="24"/>
                <w:lang w:val="en-GB" w:eastAsia="en-GB"/>
              </w:rPr>
            </w:pPr>
            <w:r w:rsidRPr="00F5483D">
              <w:rPr>
                <w:rFonts w:ascii="Century Gothic" w:hAnsi="Century Gothic"/>
                <w:color w:val="000000" w:themeColor="text1"/>
              </w:rPr>
              <w:t>Team development/skillset</w:t>
            </w:r>
          </w:p>
        </w:tc>
      </w:tr>
      <w:tr w:rsidR="00E3519C" w:rsidRPr="00E3519C" w14:paraId="118E225C" w14:textId="77777777" w:rsidTr="00104658">
        <w:trPr>
          <w:trHeight w:val="340"/>
        </w:trPr>
        <w:tc>
          <w:tcPr>
            <w:tcW w:w="9016" w:type="dxa"/>
            <w:vAlign w:val="center"/>
          </w:tcPr>
          <w:p w14:paraId="050A5103" w14:textId="1894C415" w:rsidR="001D3B8C" w:rsidRPr="00F5483D" w:rsidRDefault="001D3B8C" w:rsidP="001D3B8C">
            <w:pPr>
              <w:spacing w:after="0" w:line="240" w:lineRule="auto"/>
              <w:rPr>
                <w:rFonts w:ascii="Century Gothic" w:hAnsi="Century Gothic"/>
                <w:color w:val="000000" w:themeColor="text1"/>
                <w:sz w:val="24"/>
                <w:szCs w:val="24"/>
                <w:lang w:val="en-GB" w:eastAsia="en-GB"/>
              </w:rPr>
            </w:pPr>
            <w:r w:rsidRPr="00F5483D">
              <w:rPr>
                <w:rFonts w:ascii="Century Gothic" w:hAnsi="Century Gothic"/>
                <w:color w:val="000000" w:themeColor="text1"/>
                <w:shd w:val="clear" w:color="auto" w:fill="FFFFFF"/>
              </w:rPr>
              <w:t>Insight and Intelligence</w:t>
            </w:r>
          </w:p>
          <w:p w14:paraId="77D2936A" w14:textId="77777777" w:rsidR="001D3B8C" w:rsidRPr="00F5483D" w:rsidRDefault="001D3B8C" w:rsidP="001D3B8C">
            <w:pPr>
              <w:pStyle w:val="xmsolistparagraph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F5483D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Development of metrics to assist with valuation</w:t>
            </w:r>
          </w:p>
          <w:p w14:paraId="646E339B" w14:textId="77777777" w:rsidR="001D3B8C" w:rsidRPr="00F5483D" w:rsidRDefault="001D3B8C" w:rsidP="001D3B8C">
            <w:pPr>
              <w:pStyle w:val="xmsolistparagraph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F5483D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Use of market intelligence</w:t>
            </w:r>
          </w:p>
          <w:p w14:paraId="72BEA2F0" w14:textId="77777777" w:rsidR="001D3B8C" w:rsidRPr="00F5483D" w:rsidRDefault="001D3B8C" w:rsidP="001D3B8C">
            <w:pPr>
              <w:pStyle w:val="xmsolistparagraph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rFonts w:ascii="Century Gothic" w:hAnsi="Century Gothic" w:cs="Segoe UI"/>
                <w:color w:val="000000" w:themeColor="text1"/>
                <w:sz w:val="22"/>
                <w:szCs w:val="22"/>
              </w:rPr>
            </w:pPr>
            <w:r w:rsidRPr="00F5483D">
              <w:rPr>
                <w:rFonts w:ascii="Century Gothic" w:hAnsi="Century Gothic" w:cs="Segoe UI"/>
                <w:color w:val="000000" w:themeColor="text1"/>
                <w:sz w:val="22"/>
                <w:szCs w:val="22"/>
              </w:rPr>
              <w:t>Investor targeting</w:t>
            </w:r>
          </w:p>
          <w:p w14:paraId="20C71C1C" w14:textId="4276644A" w:rsidR="00E3519C" w:rsidRPr="00F5483D" w:rsidRDefault="001D3B8C" w:rsidP="00C345E8">
            <w:pPr>
              <w:pStyle w:val="xmsolistparagraph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rFonts w:ascii="Century Gothic" w:hAnsi="Century Gothic" w:cs="Segoe UI"/>
                <w:color w:val="000000" w:themeColor="text1"/>
                <w:sz w:val="22"/>
                <w:szCs w:val="22"/>
              </w:rPr>
            </w:pPr>
            <w:r w:rsidRPr="00F5483D">
              <w:rPr>
                <w:rFonts w:ascii="Century Gothic" w:hAnsi="Century Gothic" w:cs="Segoe UI"/>
                <w:color w:val="000000" w:themeColor="text1"/>
                <w:sz w:val="22"/>
                <w:szCs w:val="22"/>
              </w:rPr>
              <w:t>Guidance</w:t>
            </w:r>
          </w:p>
        </w:tc>
      </w:tr>
      <w:tr w:rsidR="00E3519C" w:rsidRPr="00E3519C" w14:paraId="799833D3" w14:textId="77777777" w:rsidTr="00104658">
        <w:trPr>
          <w:trHeight w:val="340"/>
        </w:trPr>
        <w:tc>
          <w:tcPr>
            <w:tcW w:w="9016" w:type="dxa"/>
            <w:vAlign w:val="center"/>
          </w:tcPr>
          <w:p w14:paraId="41293920" w14:textId="77777777" w:rsidR="001D3B8C" w:rsidRPr="00F5483D" w:rsidRDefault="001D3B8C" w:rsidP="001D3B8C">
            <w:pPr>
              <w:spacing w:after="0" w:line="240" w:lineRule="auto"/>
              <w:rPr>
                <w:rFonts w:ascii="Century Gothic" w:hAnsi="Century Gothic"/>
                <w:color w:val="000000" w:themeColor="text1"/>
                <w:sz w:val="24"/>
                <w:szCs w:val="24"/>
                <w:lang w:val="en-GB" w:eastAsia="en-GB"/>
              </w:rPr>
            </w:pPr>
            <w:r w:rsidRPr="00F5483D">
              <w:rPr>
                <w:rFonts w:ascii="Century Gothic" w:hAnsi="Century Gothic"/>
                <w:color w:val="000000" w:themeColor="text1"/>
              </w:rPr>
              <w:t>Technology</w:t>
            </w:r>
          </w:p>
          <w:p w14:paraId="658163FA" w14:textId="0DA25A9C" w:rsidR="001D3B8C" w:rsidRPr="00F5483D" w:rsidRDefault="001D3B8C" w:rsidP="00FB3052">
            <w:pPr>
              <w:pStyle w:val="xmsolistparagraph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F5483D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Ad</w:t>
            </w:r>
            <w:r w:rsidR="00FB3052" w:rsidRPr="00F5483D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>o</w:t>
            </w:r>
            <w:r w:rsidRPr="00F5483D">
              <w:rPr>
                <w:rFonts w:ascii="Century Gothic" w:hAnsi="Century Gothic"/>
                <w:color w:val="000000" w:themeColor="text1"/>
                <w:sz w:val="22"/>
                <w:szCs w:val="22"/>
                <w:shd w:val="clear" w:color="auto" w:fill="FFFFFF"/>
              </w:rPr>
              <w:t xml:space="preserve">ption of new technology (internally or </w:t>
            </w:r>
            <w:r w:rsidRPr="00F5483D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externally)</w:t>
            </w:r>
          </w:p>
          <w:p w14:paraId="14C8E224" w14:textId="7718F1B7" w:rsidR="00E3519C" w:rsidRPr="00F5483D" w:rsidRDefault="001D3B8C" w:rsidP="00FB3052">
            <w:pPr>
              <w:pStyle w:val="xmsolistparagraph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Century Gothic" w:hAnsi="Century Gothic"/>
                <w:color w:val="000000" w:themeColor="text1"/>
              </w:rPr>
            </w:pPr>
            <w:r w:rsidRPr="00F5483D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Back end/front end IR programme improvements</w:t>
            </w:r>
          </w:p>
        </w:tc>
      </w:tr>
    </w:tbl>
    <w:p w14:paraId="4D62D812" w14:textId="112A9470" w:rsidR="00236151" w:rsidRDefault="00236151" w:rsidP="00E3519C">
      <w:pPr>
        <w:spacing w:line="240" w:lineRule="auto"/>
        <w:rPr>
          <w:rFonts w:ascii="Century Gothic" w:hAnsi="Century Gothic" w:cs="Calibri"/>
          <w:sz w:val="20"/>
          <w:szCs w:val="20"/>
        </w:rPr>
      </w:pPr>
    </w:p>
    <w:p w14:paraId="298D3FCA" w14:textId="511F5A09" w:rsidR="00F06FDA" w:rsidRDefault="00F06FDA" w:rsidP="00F06FDA">
      <w:pPr>
        <w:rPr>
          <w:rFonts w:ascii="Century Gothic" w:hAnsi="Century Gothic"/>
          <w:i/>
        </w:rPr>
      </w:pPr>
      <w:r w:rsidRPr="00E3519C">
        <w:rPr>
          <w:rFonts w:ascii="Century Gothic" w:hAnsi="Century Gothic"/>
          <w:i/>
        </w:rPr>
        <w:t>Provide any links to relevant material to support your submission</w:t>
      </w:r>
      <w:r>
        <w:rPr>
          <w:rFonts w:ascii="Century Gothic" w:hAnsi="Century Gothic"/>
          <w:i/>
        </w:rPr>
        <w:t xml:space="preserve"> and evidence success</w:t>
      </w:r>
      <w:r w:rsidRPr="00E3519C">
        <w:rPr>
          <w:rFonts w:ascii="Century Gothic" w:hAnsi="Century Gothic"/>
          <w:i/>
        </w:rPr>
        <w:t xml:space="preserve">. </w:t>
      </w:r>
    </w:p>
    <w:p w14:paraId="0DCE1BCC" w14:textId="77777777" w:rsidR="00CC186B" w:rsidRPr="002B1430" w:rsidRDefault="00CC186B" w:rsidP="00CC186B">
      <w:pPr>
        <w:rPr>
          <w:rFonts w:ascii="Century Gothic" w:hAnsi="Century Gothic"/>
          <w:i/>
        </w:rPr>
      </w:pPr>
      <w:r w:rsidRPr="002B1430">
        <w:rPr>
          <w:rFonts w:ascii="Century Gothic" w:hAnsi="Century Gothic"/>
          <w:i/>
        </w:rPr>
        <w:t>Please note Small-cap, Mid-cap and Large-cap criteria will be comparable to FTSE 100, 250 and Small-cap/AIM market cap sizes as at March 30, 2021.</w:t>
      </w:r>
      <w:r w:rsidRPr="002B1430">
        <w:rPr>
          <w:rFonts w:ascii="Century Gothic" w:hAnsi="Century Gothic"/>
          <w:i/>
          <w:iCs/>
        </w:rPr>
        <w:t xml:space="preserve"> </w:t>
      </w:r>
    </w:p>
    <w:p w14:paraId="3ACDF78B" w14:textId="77777777" w:rsidR="00975D7A" w:rsidRPr="00F06FDA" w:rsidRDefault="00975D7A" w:rsidP="00F06FDA">
      <w:pPr>
        <w:rPr>
          <w:rFonts w:ascii="Century Gothic" w:hAnsi="Century Gothic"/>
          <w:i/>
        </w:rPr>
      </w:pPr>
    </w:p>
    <w:sectPr w:rsidR="00975D7A" w:rsidRPr="00F06FDA" w:rsidSect="00965D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9" w:right="1440" w:bottom="198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30621" w14:textId="77777777" w:rsidR="0088605D" w:rsidRDefault="0088605D" w:rsidP="00704809">
      <w:pPr>
        <w:spacing w:after="0" w:line="240" w:lineRule="auto"/>
      </w:pPr>
      <w:r>
        <w:separator/>
      </w:r>
    </w:p>
  </w:endnote>
  <w:endnote w:type="continuationSeparator" w:id="0">
    <w:p w14:paraId="5101D6DE" w14:textId="77777777" w:rsidR="0088605D" w:rsidRDefault="0088605D" w:rsidP="00704809">
      <w:pPr>
        <w:spacing w:after="0" w:line="240" w:lineRule="auto"/>
      </w:pPr>
      <w:r>
        <w:continuationSeparator/>
      </w:r>
    </w:p>
  </w:endnote>
  <w:endnote w:type="continuationNotice" w:id="1">
    <w:p w14:paraId="4B7A9C6C" w14:textId="77777777" w:rsidR="00414835" w:rsidRDefault="004148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Georgia">
    <w:altName w:val="﷽﷽﷽﷽﷽﷽﷽﷽쎀̜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D24E6" w14:textId="77777777" w:rsidR="00033905" w:rsidRDefault="000339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A0F02" w14:textId="44B4E694" w:rsidR="00704809" w:rsidRPr="00F8506E" w:rsidRDefault="00774D92" w:rsidP="00704809">
    <w:pPr>
      <w:pStyle w:val="Footer"/>
      <w:rPr>
        <w:color w:val="262626"/>
        <w:sz w:val="1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D231BC6" wp14:editId="140FFEF6">
          <wp:simplePos x="0" y="0"/>
          <wp:positionH relativeFrom="margin">
            <wp:posOffset>-72390</wp:posOffset>
          </wp:positionH>
          <wp:positionV relativeFrom="paragraph">
            <wp:posOffset>-26670</wp:posOffset>
          </wp:positionV>
          <wp:extent cx="5731510" cy="522605"/>
          <wp:effectExtent l="0" t="0" r="0" b="0"/>
          <wp:wrapNone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4809" w:rsidRPr="00F8506E">
      <w:rPr>
        <w:color w:val="262626"/>
        <w:sz w:val="14"/>
      </w:rPr>
      <w:t xml:space="preserve">t: +44 (0) 20 7379 1763  |  </w:t>
    </w:r>
    <w:r w:rsidR="00033905" w:rsidRPr="00F8506E">
      <w:rPr>
        <w:color w:val="262626"/>
        <w:sz w:val="14"/>
      </w:rPr>
      <w:t>enquiries@irsociety.org.uk  |  www.irsociety.org.uk</w:t>
    </w:r>
  </w:p>
  <w:p w14:paraId="306E8962" w14:textId="77777777" w:rsidR="00704809" w:rsidRPr="00F8506E" w:rsidRDefault="00704809" w:rsidP="00704809">
    <w:pPr>
      <w:pStyle w:val="Footer"/>
      <w:rPr>
        <w:color w:val="262626"/>
        <w:sz w:val="14"/>
      </w:rPr>
    </w:pPr>
  </w:p>
  <w:p w14:paraId="1B993D49" w14:textId="77777777" w:rsidR="00704809" w:rsidRPr="00F8506E" w:rsidRDefault="00704809" w:rsidP="00704809">
    <w:pPr>
      <w:pStyle w:val="Footer"/>
      <w:rPr>
        <w:color w:val="262626"/>
        <w:sz w:val="14"/>
      </w:rPr>
    </w:pPr>
    <w:r w:rsidRPr="00F8506E">
      <w:rPr>
        <w:color w:val="262626"/>
        <w:sz w:val="14"/>
      </w:rPr>
      <w:t>The Investor Relations Society, 5th Floor, 30 Coleman Street, London EC2R 5AL</w:t>
    </w:r>
  </w:p>
  <w:p w14:paraId="60D0D456" w14:textId="77777777" w:rsidR="00704809" w:rsidRPr="00F8506E" w:rsidRDefault="00704809" w:rsidP="00704809">
    <w:pPr>
      <w:pStyle w:val="Footer"/>
      <w:rPr>
        <w:color w:val="262626"/>
        <w:sz w:val="14"/>
      </w:rPr>
    </w:pPr>
    <w:r w:rsidRPr="00F8506E">
      <w:rPr>
        <w:color w:val="262626"/>
        <w:sz w:val="14"/>
      </w:rPr>
      <w:t xml:space="preserve">Registered in England no </w:t>
    </w:r>
    <w:r w:rsidR="00033905" w:rsidRPr="00F8506E">
      <w:rPr>
        <w:color w:val="262626"/>
        <w:sz w:val="14"/>
      </w:rPr>
      <w:t>0</w:t>
    </w:r>
    <w:r w:rsidRPr="00F8506E">
      <w:rPr>
        <w:color w:val="262626"/>
        <w:sz w:val="14"/>
      </w:rPr>
      <w:t>2294631</w:t>
    </w:r>
  </w:p>
  <w:p w14:paraId="466ED7A2" w14:textId="77777777" w:rsidR="00704809" w:rsidRPr="00F8506E" w:rsidRDefault="00704809" w:rsidP="00704809">
    <w:pPr>
      <w:pStyle w:val="Footer"/>
      <w:rPr>
        <w:color w:val="262626"/>
        <w:sz w:val="14"/>
      </w:rPr>
    </w:pPr>
    <w:r w:rsidRPr="00F8506E">
      <w:rPr>
        <w:color w:val="262626"/>
        <w:sz w:val="14"/>
      </w:rPr>
      <w:t>Registered Office: The Investor Relations Society, 5th Floor, 30 Coleman Street, London EC2R 5AL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C9DEA" w14:textId="77777777" w:rsidR="00033905" w:rsidRDefault="000339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0460D" w14:textId="77777777" w:rsidR="0088605D" w:rsidRDefault="0088605D" w:rsidP="00704809">
      <w:pPr>
        <w:spacing w:after="0" w:line="240" w:lineRule="auto"/>
      </w:pPr>
      <w:r>
        <w:separator/>
      </w:r>
    </w:p>
  </w:footnote>
  <w:footnote w:type="continuationSeparator" w:id="0">
    <w:p w14:paraId="5ADBD9AB" w14:textId="77777777" w:rsidR="0088605D" w:rsidRDefault="0088605D" w:rsidP="00704809">
      <w:pPr>
        <w:spacing w:after="0" w:line="240" w:lineRule="auto"/>
      </w:pPr>
      <w:r>
        <w:continuationSeparator/>
      </w:r>
    </w:p>
  </w:footnote>
  <w:footnote w:type="continuationNotice" w:id="1">
    <w:p w14:paraId="38D168B9" w14:textId="77777777" w:rsidR="00414835" w:rsidRDefault="004148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E9E98" w14:textId="77777777" w:rsidR="00033905" w:rsidRDefault="000339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29C4E" w14:textId="7786C737" w:rsidR="00704809" w:rsidRPr="006A707B" w:rsidRDefault="00774D92" w:rsidP="006A707B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7789D0FB" wp14:editId="715C2866">
          <wp:simplePos x="0" y="0"/>
          <wp:positionH relativeFrom="column">
            <wp:posOffset>0</wp:posOffset>
          </wp:positionH>
          <wp:positionV relativeFrom="paragraph">
            <wp:posOffset>-66675</wp:posOffset>
          </wp:positionV>
          <wp:extent cx="1397000" cy="845185"/>
          <wp:effectExtent l="0" t="0" r="0" b="0"/>
          <wp:wrapNone/>
          <wp:docPr id="2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C2875" w14:textId="77777777" w:rsidR="00033905" w:rsidRDefault="000339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017AE"/>
    <w:multiLevelType w:val="hybridMultilevel"/>
    <w:tmpl w:val="65249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00487"/>
    <w:multiLevelType w:val="hybridMultilevel"/>
    <w:tmpl w:val="A3741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9393C"/>
    <w:multiLevelType w:val="hybridMultilevel"/>
    <w:tmpl w:val="ED4E8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C2F09"/>
    <w:multiLevelType w:val="hybridMultilevel"/>
    <w:tmpl w:val="5568D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A25D8"/>
    <w:multiLevelType w:val="hybridMultilevel"/>
    <w:tmpl w:val="26DC3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6387D"/>
    <w:multiLevelType w:val="hybridMultilevel"/>
    <w:tmpl w:val="93B4F0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668BD"/>
    <w:multiLevelType w:val="hybridMultilevel"/>
    <w:tmpl w:val="2B0A7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87ECA"/>
    <w:multiLevelType w:val="multilevel"/>
    <w:tmpl w:val="D0643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98321B"/>
    <w:multiLevelType w:val="hybridMultilevel"/>
    <w:tmpl w:val="7C1CDA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52E88"/>
    <w:multiLevelType w:val="hybridMultilevel"/>
    <w:tmpl w:val="D50E27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56CA9"/>
    <w:multiLevelType w:val="hybridMultilevel"/>
    <w:tmpl w:val="755E13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11619"/>
    <w:multiLevelType w:val="multilevel"/>
    <w:tmpl w:val="C40E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17341B"/>
    <w:multiLevelType w:val="hybridMultilevel"/>
    <w:tmpl w:val="84B0E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A32D0"/>
    <w:multiLevelType w:val="hybridMultilevel"/>
    <w:tmpl w:val="7F0A0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44403"/>
    <w:multiLevelType w:val="multilevel"/>
    <w:tmpl w:val="F8D6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1083AB2"/>
    <w:multiLevelType w:val="hybridMultilevel"/>
    <w:tmpl w:val="0DD03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C278B"/>
    <w:multiLevelType w:val="hybridMultilevel"/>
    <w:tmpl w:val="690EA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E251F"/>
    <w:multiLevelType w:val="hybridMultilevel"/>
    <w:tmpl w:val="8CDC3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87E19"/>
    <w:multiLevelType w:val="multilevel"/>
    <w:tmpl w:val="B89E0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504EBA"/>
    <w:multiLevelType w:val="multilevel"/>
    <w:tmpl w:val="D5BAE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BDB4F1A"/>
    <w:multiLevelType w:val="hybridMultilevel"/>
    <w:tmpl w:val="5F92F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C1177"/>
    <w:multiLevelType w:val="multilevel"/>
    <w:tmpl w:val="74929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35B6AD4"/>
    <w:multiLevelType w:val="hybridMultilevel"/>
    <w:tmpl w:val="0B7E309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65165C"/>
    <w:multiLevelType w:val="multilevel"/>
    <w:tmpl w:val="07D0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2C12CC6"/>
    <w:multiLevelType w:val="hybridMultilevel"/>
    <w:tmpl w:val="AFAA8E8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4A7C81"/>
    <w:multiLevelType w:val="hybridMultilevel"/>
    <w:tmpl w:val="8BBC3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20AAB"/>
    <w:multiLevelType w:val="hybridMultilevel"/>
    <w:tmpl w:val="F034A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734B5A"/>
    <w:multiLevelType w:val="hybridMultilevel"/>
    <w:tmpl w:val="FD9A9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7"/>
  </w:num>
  <w:num w:numId="5">
    <w:abstractNumId w:val="26"/>
  </w:num>
  <w:num w:numId="6">
    <w:abstractNumId w:val="6"/>
  </w:num>
  <w:num w:numId="7">
    <w:abstractNumId w:val="15"/>
  </w:num>
  <w:num w:numId="8">
    <w:abstractNumId w:val="2"/>
  </w:num>
  <w:num w:numId="9">
    <w:abstractNumId w:val="20"/>
  </w:num>
  <w:num w:numId="10">
    <w:abstractNumId w:val="0"/>
  </w:num>
  <w:num w:numId="11">
    <w:abstractNumId w:val="5"/>
  </w:num>
  <w:num w:numId="12">
    <w:abstractNumId w:val="8"/>
  </w:num>
  <w:num w:numId="13">
    <w:abstractNumId w:val="22"/>
  </w:num>
  <w:num w:numId="14">
    <w:abstractNumId w:val="24"/>
  </w:num>
  <w:num w:numId="15">
    <w:abstractNumId w:val="9"/>
  </w:num>
  <w:num w:numId="16">
    <w:abstractNumId w:val="16"/>
  </w:num>
  <w:num w:numId="17">
    <w:abstractNumId w:val="10"/>
  </w:num>
  <w:num w:numId="18">
    <w:abstractNumId w:val="12"/>
  </w:num>
  <w:num w:numId="19">
    <w:abstractNumId w:val="19"/>
  </w:num>
  <w:num w:numId="20">
    <w:abstractNumId w:val="21"/>
  </w:num>
  <w:num w:numId="21">
    <w:abstractNumId w:val="25"/>
  </w:num>
  <w:num w:numId="22">
    <w:abstractNumId w:val="14"/>
  </w:num>
  <w:num w:numId="23">
    <w:abstractNumId w:val="11"/>
  </w:num>
  <w:num w:numId="24">
    <w:abstractNumId w:val="18"/>
  </w:num>
  <w:num w:numId="25">
    <w:abstractNumId w:val="23"/>
  </w:num>
  <w:num w:numId="26">
    <w:abstractNumId w:val="7"/>
  </w:num>
  <w:num w:numId="27">
    <w:abstractNumId w:val="1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ECC"/>
    <w:rsid w:val="0001081B"/>
    <w:rsid w:val="00032547"/>
    <w:rsid w:val="00033905"/>
    <w:rsid w:val="00036D06"/>
    <w:rsid w:val="000A2CBF"/>
    <w:rsid w:val="000A793E"/>
    <w:rsid w:val="000D5B76"/>
    <w:rsid w:val="00104658"/>
    <w:rsid w:val="001332D4"/>
    <w:rsid w:val="001579BE"/>
    <w:rsid w:val="001D3B8C"/>
    <w:rsid w:val="001F0555"/>
    <w:rsid w:val="00206572"/>
    <w:rsid w:val="00210769"/>
    <w:rsid w:val="00236151"/>
    <w:rsid w:val="00251B2B"/>
    <w:rsid w:val="0026107E"/>
    <w:rsid w:val="00272757"/>
    <w:rsid w:val="002A6ECC"/>
    <w:rsid w:val="002D0C73"/>
    <w:rsid w:val="003078E1"/>
    <w:rsid w:val="00381EBD"/>
    <w:rsid w:val="00385A02"/>
    <w:rsid w:val="00414835"/>
    <w:rsid w:val="004D38A8"/>
    <w:rsid w:val="00525835"/>
    <w:rsid w:val="00546201"/>
    <w:rsid w:val="005B5368"/>
    <w:rsid w:val="005B67FC"/>
    <w:rsid w:val="0062354C"/>
    <w:rsid w:val="0066448E"/>
    <w:rsid w:val="0067048D"/>
    <w:rsid w:val="00673BB4"/>
    <w:rsid w:val="00673C4D"/>
    <w:rsid w:val="00683460"/>
    <w:rsid w:val="006859A8"/>
    <w:rsid w:val="006A0E36"/>
    <w:rsid w:val="006A707B"/>
    <w:rsid w:val="006C4BBE"/>
    <w:rsid w:val="006F0A0E"/>
    <w:rsid w:val="00704809"/>
    <w:rsid w:val="00732F2B"/>
    <w:rsid w:val="00774D92"/>
    <w:rsid w:val="007C41F2"/>
    <w:rsid w:val="00840018"/>
    <w:rsid w:val="0088605D"/>
    <w:rsid w:val="008C2365"/>
    <w:rsid w:val="008E3FF5"/>
    <w:rsid w:val="008E753F"/>
    <w:rsid w:val="008F293A"/>
    <w:rsid w:val="00955A79"/>
    <w:rsid w:val="00965D2D"/>
    <w:rsid w:val="00975D7A"/>
    <w:rsid w:val="00996A3F"/>
    <w:rsid w:val="009B1527"/>
    <w:rsid w:val="009B5E24"/>
    <w:rsid w:val="009C5072"/>
    <w:rsid w:val="009E402E"/>
    <w:rsid w:val="00A24FA9"/>
    <w:rsid w:val="00A57787"/>
    <w:rsid w:val="00A62158"/>
    <w:rsid w:val="00AB5F9E"/>
    <w:rsid w:val="00AD7B18"/>
    <w:rsid w:val="00B429B5"/>
    <w:rsid w:val="00B46C23"/>
    <w:rsid w:val="00B61EDB"/>
    <w:rsid w:val="00B646BB"/>
    <w:rsid w:val="00B85E90"/>
    <w:rsid w:val="00B948D1"/>
    <w:rsid w:val="00C20553"/>
    <w:rsid w:val="00C344B9"/>
    <w:rsid w:val="00C345E8"/>
    <w:rsid w:val="00C72720"/>
    <w:rsid w:val="00C75A0B"/>
    <w:rsid w:val="00C9526A"/>
    <w:rsid w:val="00CB0A94"/>
    <w:rsid w:val="00CC186B"/>
    <w:rsid w:val="00D359A9"/>
    <w:rsid w:val="00D60726"/>
    <w:rsid w:val="00D9082C"/>
    <w:rsid w:val="00D919F4"/>
    <w:rsid w:val="00DE7F89"/>
    <w:rsid w:val="00DE7F99"/>
    <w:rsid w:val="00E3519C"/>
    <w:rsid w:val="00E60158"/>
    <w:rsid w:val="00EC1825"/>
    <w:rsid w:val="00EE36C4"/>
    <w:rsid w:val="00F01EB4"/>
    <w:rsid w:val="00F06FDA"/>
    <w:rsid w:val="00F5483D"/>
    <w:rsid w:val="00F73CE8"/>
    <w:rsid w:val="00F76FAE"/>
    <w:rsid w:val="00F8506E"/>
    <w:rsid w:val="00FA7368"/>
    <w:rsid w:val="00FB3052"/>
    <w:rsid w:val="00FB47E4"/>
    <w:rsid w:val="00FC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F892D9"/>
  <w15:chartTrackingRefBased/>
  <w15:docId w15:val="{BC459E5B-6B70-3F4A-AFD3-2F5C0673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Z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66448E"/>
    <w:pPr>
      <w:spacing w:before="40" w:after="40"/>
    </w:pPr>
    <w:rPr>
      <w:rFonts w:ascii="Arial" w:hAnsi="Arial"/>
    </w:rPr>
    <w:tblPr>
      <w:tblBorders>
        <w:insideH w:val="single" w:sz="4" w:space="0" w:color="A5A5A5"/>
      </w:tblBorders>
    </w:tblPr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  <w:tblPr/>
      <w:tcPr>
        <w:tcBorders>
          <w:top w:val="nil"/>
          <w:left w:val="single" w:sz="4" w:space="0" w:color="808000"/>
          <w:bottom w:val="nil"/>
          <w:right w:val="single" w:sz="4" w:space="0" w:color="808000"/>
          <w:insideH w:val="nil"/>
          <w:insideV w:val="single" w:sz="4" w:space="0" w:color="FFFFFF"/>
          <w:tl2br w:val="nil"/>
          <w:tr2bl w:val="nil"/>
        </w:tcBorders>
        <w:shd w:val="clear" w:color="auto" w:fill="808000"/>
      </w:tcPr>
    </w:tblStylePr>
    <w:tblStylePr w:type="lastRow">
      <w:tblPr/>
      <w:tcPr>
        <w:shd w:val="clear" w:color="auto" w:fill="auto"/>
      </w:tcPr>
    </w:tblStylePr>
  </w:style>
  <w:style w:type="paragraph" w:styleId="Header">
    <w:name w:val="header"/>
    <w:basedOn w:val="Normal"/>
    <w:link w:val="HeaderChar"/>
    <w:uiPriority w:val="99"/>
    <w:unhideWhenUsed/>
    <w:rsid w:val="007048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809"/>
  </w:style>
  <w:style w:type="paragraph" w:styleId="Footer">
    <w:name w:val="footer"/>
    <w:basedOn w:val="Normal"/>
    <w:link w:val="FooterChar"/>
    <w:uiPriority w:val="99"/>
    <w:unhideWhenUsed/>
    <w:rsid w:val="007048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809"/>
  </w:style>
  <w:style w:type="paragraph" w:customStyle="1" w:styleId="Body">
    <w:name w:val="Body"/>
    <w:rsid w:val="0067048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FreeForm">
    <w:name w:val="Free Form"/>
    <w:autoRedefine/>
    <w:rsid w:val="0067048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character" w:styleId="Hyperlink">
    <w:name w:val="Hyperlink"/>
    <w:uiPriority w:val="99"/>
    <w:unhideWhenUsed/>
    <w:rsid w:val="0067048D"/>
    <w:rPr>
      <w:color w:val="0000FF"/>
      <w:u w:val="single"/>
    </w:rPr>
  </w:style>
  <w:style w:type="paragraph" w:customStyle="1" w:styleId="Default">
    <w:name w:val="Default"/>
    <w:rsid w:val="0067048D"/>
    <w:pPr>
      <w:autoSpaceDE w:val="0"/>
      <w:autoSpaceDN w:val="0"/>
      <w:adjustRightInd w:val="0"/>
    </w:pPr>
    <w:rPr>
      <w:rFonts w:ascii="Georgia" w:eastAsia="Times New Roman" w:hAnsi="Georgia" w:cs="Georg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32F2B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BalloonTextChar">
    <w:name w:val="Balloon Text Char"/>
    <w:link w:val="BalloonText"/>
    <w:rsid w:val="00732F2B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732F2B"/>
    <w:pPr>
      <w:ind w:left="720"/>
    </w:pPr>
  </w:style>
  <w:style w:type="table" w:styleId="TableGrid">
    <w:name w:val="Table Grid"/>
    <w:basedOn w:val="TableNormal"/>
    <w:uiPriority w:val="39"/>
    <w:rsid w:val="0052583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3519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C345E8"/>
  </w:style>
  <w:style w:type="paragraph" w:customStyle="1" w:styleId="xmsolistparagraph">
    <w:name w:val="x_msolistparagraph"/>
    <w:basedOn w:val="Normal"/>
    <w:rsid w:val="00251B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4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7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8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259FEEF42A78429520649A63060B14" ma:contentTypeVersion="11" ma:contentTypeDescription="Create a new document." ma:contentTypeScope="" ma:versionID="f3b698ad8dd77b72ed9d46409546ff70">
  <xsd:schema xmlns:xsd="http://www.w3.org/2001/XMLSchema" xmlns:xs="http://www.w3.org/2001/XMLSchema" xmlns:p="http://schemas.microsoft.com/office/2006/metadata/properties" xmlns:ns2="2ba6f65b-45ad-408b-83e6-d603171ffd47" xmlns:ns3="aa371740-c99b-4a91-8553-2ee9ea91d2f9" targetNamespace="http://schemas.microsoft.com/office/2006/metadata/properties" ma:root="true" ma:fieldsID="9600372c2281ec0a7ec27efcb2210c08" ns2:_="" ns3:_="">
    <xsd:import namespace="2ba6f65b-45ad-408b-83e6-d603171ffd47"/>
    <xsd:import namespace="aa371740-c99b-4a91-8553-2ee9ea91d2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6f65b-45ad-408b-83e6-d603171ffd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71740-c99b-4a91-8553-2ee9ea91d2f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5FD028-A7F7-4975-80A1-C9F2A6ACF8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94F03C-AFF1-478A-AEB5-A732973679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1738B2-AF4F-4239-9F89-8D0770335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a6f65b-45ad-408b-83e6-d603171ffd47"/>
    <ds:schemaRef ds:uri="aa371740-c99b-4a91-8553-2ee9ea91d2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215BB5-5387-4049-AC40-C75E5B327D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Burger</dc:creator>
  <cp:keywords/>
  <dc:description/>
  <cp:lastModifiedBy>Laura Hayter</cp:lastModifiedBy>
  <cp:revision>6</cp:revision>
  <cp:lastPrinted>2019-01-31T02:41:00Z</cp:lastPrinted>
  <dcterms:created xsi:type="dcterms:W3CDTF">2021-04-26T00:19:00Z</dcterms:created>
  <dcterms:modified xsi:type="dcterms:W3CDTF">2021-04-27T10:55:00Z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0x0101006B259FEEF42A78429520649A63060B14</vt:lpwstr>
  </property>
  <property fmtid="{D5CDD505-2E9C-101B-9397-08002B2CF9AE}" pid="3" name="Order">
    <vt:r8>1732800</vt:r8>
  </property>
</Properties>
</file>