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B7C" w:rsidP="009F3F0C" w:rsidRDefault="00254B7C" w14:paraId="317847C0" w14:textId="77777777">
      <w:pPr>
        <w:spacing w:after="0" w:line="240" w:lineRule="auto"/>
        <w:jc w:val="both"/>
        <w:rPr>
          <w:rFonts w:ascii="Raleway" w:hAnsi="Raleway" w:eastAsia="Times New Roman" w:cs="Calibri"/>
          <w:kern w:val="0"/>
          <w:sz w:val="22"/>
          <w:szCs w:val="22"/>
          <w14:ligatures w14:val="none"/>
        </w:rPr>
      </w:pPr>
    </w:p>
    <w:p w:rsidR="00254B7C" w:rsidP="009F3F0C" w:rsidRDefault="00254B7C" w14:paraId="41558FF2" w14:textId="77777777">
      <w:pPr>
        <w:spacing w:after="0" w:line="240" w:lineRule="auto"/>
        <w:jc w:val="both"/>
        <w:rPr>
          <w:rFonts w:ascii="Raleway" w:hAnsi="Raleway" w:eastAsia="Times New Roman" w:cs="Calibri"/>
          <w:kern w:val="0"/>
          <w:sz w:val="22"/>
          <w:szCs w:val="22"/>
          <w14:ligatures w14:val="none"/>
        </w:rPr>
      </w:pPr>
    </w:p>
    <w:p w:rsidRPr="00254B7C" w:rsidR="00254B7C" w:rsidP="009F3F0C" w:rsidRDefault="00254B7C" w14:paraId="6711BF1C" w14:textId="7C0C16F8">
      <w:pPr>
        <w:spacing w:after="0" w:line="240" w:lineRule="auto"/>
        <w:jc w:val="both"/>
        <w:rPr>
          <w:rFonts w:ascii="Raleway" w:hAnsi="Raleway" w:eastAsia="Times New Roman" w:cs="Calibri"/>
          <w:b/>
          <w:bCs/>
          <w:color w:val="0070C0"/>
          <w:kern w:val="0"/>
          <w:sz w:val="28"/>
          <w:szCs w:val="28"/>
          <w14:ligatures w14:val="none"/>
        </w:rPr>
      </w:pPr>
      <w:r>
        <w:rPr>
          <w:rFonts w:ascii="Raleway" w:hAnsi="Raleway" w:eastAsia="Times New Roman" w:cs="Calibri"/>
          <w:b/>
          <w:bCs/>
          <w:color w:val="0070C0"/>
          <w:kern w:val="0"/>
          <w:sz w:val="28"/>
          <w:szCs w:val="28"/>
          <w14:ligatures w14:val="none"/>
        </w:rPr>
        <w:t xml:space="preserve">ANNUAL GENERAL MEETING 2026: </w:t>
      </w:r>
      <w:r w:rsidRPr="00254B7C">
        <w:rPr>
          <w:rFonts w:ascii="Raleway" w:hAnsi="Raleway" w:eastAsia="Times New Roman" w:cs="Calibri"/>
          <w:b/>
          <w:bCs/>
          <w:color w:val="0070C0"/>
          <w:kern w:val="0"/>
          <w:sz w:val="28"/>
          <w:szCs w:val="28"/>
          <w14:ligatures w14:val="none"/>
        </w:rPr>
        <w:t>PROXY VOTING FORM</w:t>
      </w:r>
      <w:r>
        <w:rPr>
          <w:rFonts w:ascii="Raleway" w:hAnsi="Raleway" w:eastAsia="Times New Roman" w:cs="Calibri"/>
          <w:b/>
          <w:bCs/>
          <w:color w:val="0070C0"/>
          <w:kern w:val="0"/>
          <w:sz w:val="28"/>
          <w:szCs w:val="28"/>
          <w14:ligatures w14:val="none"/>
        </w:rPr>
        <w:t xml:space="preserve"> </w:t>
      </w:r>
    </w:p>
    <w:p w:rsidR="00254B7C" w:rsidP="009F3F0C" w:rsidRDefault="00254B7C" w14:paraId="6CB69D4D" w14:textId="77777777">
      <w:pPr>
        <w:spacing w:after="0" w:line="240" w:lineRule="auto"/>
        <w:jc w:val="both"/>
        <w:rPr>
          <w:rFonts w:ascii="Raleway" w:hAnsi="Raleway" w:eastAsia="Times New Roman" w:cs="Calibri"/>
          <w:kern w:val="0"/>
          <w:sz w:val="22"/>
          <w:szCs w:val="22"/>
          <w14:ligatures w14:val="none"/>
        </w:rPr>
      </w:pPr>
    </w:p>
    <w:p w:rsidRPr="00680D12" w:rsidR="009F3F0C" w:rsidP="009F3F0C" w:rsidRDefault="009F3F0C" w14:paraId="191184DE" w14:textId="58A6C4ED">
      <w:pPr>
        <w:spacing w:after="0" w:line="240" w:lineRule="auto"/>
        <w:jc w:val="both"/>
        <w:rPr>
          <w:rFonts w:ascii="Raleway" w:hAnsi="Raleway" w:eastAsia="Times New Roman" w:cs="Calibri"/>
          <w:kern w:val="0"/>
          <w:sz w:val="22"/>
          <w:szCs w:val="22"/>
          <w14:ligatures w14:val="none"/>
        </w:rPr>
      </w:pPr>
      <w:r w:rsidRPr="00680D12">
        <w:rPr>
          <w:rFonts w:ascii="Raleway" w:hAnsi="Raleway" w:eastAsia="Times New Roman" w:cs="Calibri"/>
          <w:kern w:val="0"/>
          <w:sz w:val="22"/>
          <w:szCs w:val="22"/>
          <w14:ligatures w14:val="none"/>
        </w:rPr>
        <w:t xml:space="preserve">I, being a full member of The Investor Relations Society (the “Society”) hereby appoint the Chair of the Meeting or _____________________ as my proxy to attend and, on a poll, to vote for me and on my behalf at the Annual General Meeting of the Society to be held at the offices of </w:t>
      </w:r>
      <w:r w:rsidRPr="00254B7C">
        <w:rPr>
          <w:rFonts w:ascii="Raleway" w:hAnsi="Raleway"/>
          <w:sz w:val="22"/>
          <w:szCs w:val="22"/>
        </w:rPr>
        <w:t>Tuesday 2</w:t>
      </w:r>
      <w:r w:rsidRPr="00254B7C">
        <w:rPr>
          <w:rFonts w:ascii="Raleway" w:hAnsi="Raleway"/>
          <w:sz w:val="22"/>
          <w:szCs w:val="22"/>
          <w:vertAlign w:val="superscript"/>
        </w:rPr>
        <w:t>nd</w:t>
      </w:r>
      <w:r w:rsidRPr="00254B7C">
        <w:rPr>
          <w:rFonts w:ascii="Raleway" w:hAnsi="Raleway"/>
          <w:sz w:val="22"/>
          <w:szCs w:val="22"/>
        </w:rPr>
        <w:t xml:space="preserve"> June 2026 at 18:00, </w:t>
      </w:r>
      <w:r w:rsidRPr="00F30095">
        <w:rPr>
          <w:rFonts w:ascii="Raleway" w:hAnsi="Raleway"/>
          <w:sz w:val="22"/>
          <w:szCs w:val="22"/>
        </w:rPr>
        <w:t>at</w:t>
      </w:r>
      <w:r w:rsidRPr="00254B7C">
        <w:rPr>
          <w:rFonts w:ascii="Raleway" w:hAnsi="Raleway"/>
          <w:sz w:val="22"/>
          <w:szCs w:val="22"/>
        </w:rPr>
        <w:t xml:space="preserve"> the offices of</w:t>
      </w:r>
      <w:r w:rsidRPr="00F30095">
        <w:rPr>
          <w:rFonts w:ascii="Raleway" w:hAnsi="Raleway"/>
          <w:sz w:val="22"/>
          <w:szCs w:val="22"/>
        </w:rPr>
        <w:t> </w:t>
      </w:r>
      <w:r w:rsidRPr="00254B7C">
        <w:rPr>
          <w:rFonts w:ascii="Raleway" w:hAnsi="Raleway"/>
          <w:sz w:val="22"/>
          <w:szCs w:val="22"/>
        </w:rPr>
        <w:t>Georgeson</w:t>
      </w:r>
      <w:r w:rsidRPr="00F30095">
        <w:rPr>
          <w:rFonts w:ascii="Raleway" w:hAnsi="Raleway"/>
          <w:sz w:val="22"/>
          <w:szCs w:val="22"/>
        </w:rPr>
        <w:t>,</w:t>
      </w:r>
      <w:r w:rsidRPr="00254B7C">
        <w:rPr>
          <w:rFonts w:ascii="Raleway" w:hAnsi="Raleway" w:cs="Arial"/>
          <w:color w:val="FFFFFF"/>
          <w:sz w:val="22"/>
          <w:szCs w:val="22"/>
        </w:rPr>
        <w:t xml:space="preserve"> </w:t>
      </w:r>
      <w:r w:rsidRPr="00254B7C">
        <w:rPr>
          <w:rFonts w:ascii="Raleway" w:hAnsi="Raleway"/>
          <w:sz w:val="22"/>
          <w:szCs w:val="22"/>
        </w:rPr>
        <w:t>Moor House, 120 London Wall, London, EC2Y 5ET</w:t>
      </w:r>
      <w:r w:rsidRPr="00680D12">
        <w:rPr>
          <w:rFonts w:ascii="Raleway" w:hAnsi="Raleway" w:eastAsia="Times New Roman" w:cs="Calibri"/>
          <w:kern w:val="0"/>
          <w:sz w:val="22"/>
          <w:szCs w:val="22"/>
          <w14:ligatures w14:val="none"/>
        </w:rPr>
        <w:t>, and at any adjournment thereof.  I direct that my vote(s) be cast on the specified resolutions as indicated by an ‘X’ in the appropriate boxes.</w:t>
      </w:r>
    </w:p>
    <w:p w:rsidRPr="00254B7C" w:rsidR="009F3F0C" w:rsidRDefault="009F3F0C" w14:paraId="5259A067" w14:textId="77777777">
      <w:pPr>
        <w:rPr>
          <w:rFonts w:ascii="Raleway" w:hAnsi="Raleway"/>
        </w:rPr>
      </w:pPr>
    </w:p>
    <w:tbl>
      <w:tblPr>
        <w:tblStyle w:val="TableGrid"/>
        <w:tblW w:w="0" w:type="auto"/>
        <w:tblLook w:val="04A0" w:firstRow="1" w:lastRow="0" w:firstColumn="1" w:lastColumn="0" w:noHBand="0" w:noVBand="1"/>
      </w:tblPr>
      <w:tblGrid>
        <w:gridCol w:w="5610"/>
        <w:gridCol w:w="986"/>
        <w:gridCol w:w="1133"/>
        <w:gridCol w:w="1287"/>
      </w:tblGrid>
      <w:tr w:rsidRPr="00254B7C" w:rsidR="00254B7C" w:rsidTr="00254B7C" w14:paraId="6AAA29C1" w14:textId="77777777">
        <w:tc>
          <w:tcPr>
            <w:tcW w:w="5665" w:type="dxa"/>
            <w:shd w:val="clear" w:color="auto" w:fill="0070C0"/>
          </w:tcPr>
          <w:p w:rsidRPr="00254B7C" w:rsidR="00254B7C" w:rsidRDefault="00254B7C" w14:paraId="6B95486C" w14:textId="69F20D6F">
            <w:pPr>
              <w:rPr>
                <w:rFonts w:ascii="Raleway" w:hAnsi="Raleway"/>
                <w:b/>
                <w:bCs/>
                <w:color w:val="FFFFFF" w:themeColor="background1"/>
              </w:rPr>
            </w:pPr>
            <w:r w:rsidRPr="00254B7C">
              <w:rPr>
                <w:rFonts w:ascii="Raleway" w:hAnsi="Raleway"/>
                <w:b/>
                <w:bCs/>
                <w:color w:val="FFFFFF" w:themeColor="background1"/>
              </w:rPr>
              <w:t>Resolutions</w:t>
            </w:r>
          </w:p>
        </w:tc>
        <w:tc>
          <w:tcPr>
            <w:tcW w:w="993" w:type="dxa"/>
            <w:shd w:val="clear" w:color="auto" w:fill="0070C0"/>
          </w:tcPr>
          <w:p w:rsidRPr="00254B7C" w:rsidR="00254B7C" w:rsidRDefault="00254B7C" w14:paraId="590857BA" w14:textId="58B3F336">
            <w:pPr>
              <w:rPr>
                <w:rFonts w:ascii="Raleway" w:hAnsi="Raleway"/>
                <w:b/>
                <w:bCs/>
                <w:color w:val="FFFFFF" w:themeColor="background1"/>
              </w:rPr>
            </w:pPr>
            <w:r w:rsidRPr="00254B7C">
              <w:rPr>
                <w:rFonts w:ascii="Raleway" w:hAnsi="Raleway"/>
                <w:b/>
                <w:bCs/>
                <w:color w:val="FFFFFF" w:themeColor="background1"/>
              </w:rPr>
              <w:t>For</w:t>
            </w:r>
          </w:p>
        </w:tc>
        <w:tc>
          <w:tcPr>
            <w:tcW w:w="1134" w:type="dxa"/>
            <w:shd w:val="clear" w:color="auto" w:fill="0070C0"/>
          </w:tcPr>
          <w:p w:rsidRPr="00254B7C" w:rsidR="00254B7C" w:rsidRDefault="00254B7C" w14:paraId="301A58E8" w14:textId="1CAB8B49">
            <w:pPr>
              <w:rPr>
                <w:rFonts w:ascii="Raleway" w:hAnsi="Raleway"/>
                <w:b/>
                <w:bCs/>
                <w:color w:val="FFFFFF" w:themeColor="background1"/>
              </w:rPr>
            </w:pPr>
            <w:r w:rsidRPr="00254B7C">
              <w:rPr>
                <w:rFonts w:ascii="Raleway" w:hAnsi="Raleway"/>
                <w:b/>
                <w:bCs/>
                <w:color w:val="FFFFFF" w:themeColor="background1"/>
              </w:rPr>
              <w:t>Against</w:t>
            </w:r>
          </w:p>
        </w:tc>
        <w:tc>
          <w:tcPr>
            <w:tcW w:w="1224" w:type="dxa"/>
            <w:shd w:val="clear" w:color="auto" w:fill="0070C0"/>
          </w:tcPr>
          <w:p w:rsidRPr="00254B7C" w:rsidR="00254B7C" w:rsidRDefault="00254B7C" w14:paraId="7DD18A0E" w14:textId="188499C6">
            <w:pPr>
              <w:rPr>
                <w:rFonts w:ascii="Raleway" w:hAnsi="Raleway"/>
                <w:b/>
                <w:bCs/>
                <w:color w:val="FFFFFF" w:themeColor="background1"/>
              </w:rPr>
            </w:pPr>
            <w:r w:rsidRPr="00254B7C">
              <w:rPr>
                <w:rFonts w:ascii="Raleway" w:hAnsi="Raleway"/>
                <w:b/>
                <w:bCs/>
                <w:color w:val="FFFFFF" w:themeColor="background1"/>
              </w:rPr>
              <w:t>Vote Withheld</w:t>
            </w:r>
          </w:p>
        </w:tc>
      </w:tr>
      <w:tr w:rsidRPr="00254B7C" w:rsidR="00254B7C" w:rsidTr="00254B7C" w14:paraId="0FF2DFC7" w14:textId="77777777">
        <w:tc>
          <w:tcPr>
            <w:tcW w:w="5665" w:type="dxa"/>
          </w:tcPr>
          <w:p w:rsidRPr="00254B7C" w:rsidR="00254B7C" w:rsidP="00254B7C" w:rsidRDefault="00254B7C" w14:paraId="1D10B5E5" w14:textId="0AA96DEB">
            <w:pPr>
              <w:pStyle w:val="ListParagraph"/>
              <w:numPr>
                <w:ilvl w:val="0"/>
                <w:numId w:val="2"/>
              </w:numPr>
              <w:rPr>
                <w:rFonts w:ascii="Raleway" w:hAnsi="Raleway"/>
              </w:rPr>
            </w:pPr>
            <w:r w:rsidRPr="00254B7C">
              <w:rPr>
                <w:rFonts w:ascii="Raleway" w:hAnsi="Raleway" w:eastAsia="Times New Roman" w:cs="Calibri"/>
                <w:kern w:val="0"/>
                <w:sz w:val="22"/>
                <w:szCs w:val="22"/>
                <w14:ligatures w14:val="none"/>
              </w:rPr>
              <w:t>To receive and adopt the accounts for the year ended 31 December 2025</w:t>
            </w:r>
          </w:p>
        </w:tc>
        <w:tc>
          <w:tcPr>
            <w:tcW w:w="993" w:type="dxa"/>
          </w:tcPr>
          <w:p w:rsidRPr="00254B7C" w:rsidR="00254B7C" w:rsidRDefault="00254B7C" w14:paraId="251ED16F" w14:textId="77777777">
            <w:pPr>
              <w:rPr>
                <w:rFonts w:ascii="Raleway" w:hAnsi="Raleway"/>
              </w:rPr>
            </w:pPr>
          </w:p>
        </w:tc>
        <w:tc>
          <w:tcPr>
            <w:tcW w:w="1134" w:type="dxa"/>
          </w:tcPr>
          <w:p w:rsidRPr="00254B7C" w:rsidR="00254B7C" w:rsidRDefault="00254B7C" w14:paraId="2A554E7E" w14:textId="77777777">
            <w:pPr>
              <w:rPr>
                <w:rFonts w:ascii="Raleway" w:hAnsi="Raleway"/>
              </w:rPr>
            </w:pPr>
          </w:p>
        </w:tc>
        <w:tc>
          <w:tcPr>
            <w:tcW w:w="1224" w:type="dxa"/>
          </w:tcPr>
          <w:p w:rsidRPr="00254B7C" w:rsidR="00254B7C" w:rsidRDefault="00254B7C" w14:paraId="25B0EFF9" w14:textId="77777777">
            <w:pPr>
              <w:rPr>
                <w:rFonts w:ascii="Raleway" w:hAnsi="Raleway"/>
              </w:rPr>
            </w:pPr>
          </w:p>
        </w:tc>
      </w:tr>
      <w:tr w:rsidRPr="00254B7C" w:rsidR="00254B7C" w:rsidTr="00254B7C" w14:paraId="41A604CD" w14:textId="77777777">
        <w:tc>
          <w:tcPr>
            <w:tcW w:w="5665" w:type="dxa"/>
          </w:tcPr>
          <w:p w:rsidRPr="00254B7C" w:rsidR="00254B7C" w:rsidP="00254B7C" w:rsidRDefault="00254B7C" w14:paraId="2C8CAE6F" w14:textId="39E5355B">
            <w:pPr>
              <w:pStyle w:val="ListParagraph"/>
              <w:numPr>
                <w:ilvl w:val="0"/>
                <w:numId w:val="2"/>
              </w:numPr>
              <w:rPr>
                <w:rFonts w:ascii="Raleway" w:hAnsi="Raleway" w:eastAsia="Times New Roman" w:cs="Calibri"/>
                <w:kern w:val="0"/>
                <w:sz w:val="22"/>
                <w:szCs w:val="22"/>
                <w14:ligatures w14:val="none"/>
              </w:rPr>
            </w:pPr>
            <w:r w:rsidRPr="00680D12">
              <w:rPr>
                <w:rFonts w:ascii="Raleway" w:hAnsi="Raleway" w:eastAsia="Times New Roman" w:cs="Calibri"/>
                <w:color w:val="000000"/>
                <w:kern w:val="0"/>
                <w:sz w:val="22"/>
                <w:szCs w:val="22"/>
                <w14:ligatures w14:val="none"/>
              </w:rPr>
              <w:t xml:space="preserve">To re-elect Douglas Radcliffe as a director </w:t>
            </w:r>
          </w:p>
        </w:tc>
        <w:tc>
          <w:tcPr>
            <w:tcW w:w="993" w:type="dxa"/>
          </w:tcPr>
          <w:p w:rsidRPr="00254B7C" w:rsidR="00254B7C" w:rsidP="00254B7C" w:rsidRDefault="00254B7C" w14:paraId="2C0C99E3" w14:textId="77777777">
            <w:pPr>
              <w:rPr>
                <w:rFonts w:ascii="Raleway" w:hAnsi="Raleway"/>
              </w:rPr>
            </w:pPr>
          </w:p>
        </w:tc>
        <w:tc>
          <w:tcPr>
            <w:tcW w:w="1134" w:type="dxa"/>
          </w:tcPr>
          <w:p w:rsidRPr="00254B7C" w:rsidR="00254B7C" w:rsidP="00254B7C" w:rsidRDefault="00254B7C" w14:paraId="7A7870D4" w14:textId="77777777">
            <w:pPr>
              <w:rPr>
                <w:rFonts w:ascii="Raleway" w:hAnsi="Raleway"/>
              </w:rPr>
            </w:pPr>
          </w:p>
        </w:tc>
        <w:tc>
          <w:tcPr>
            <w:tcW w:w="1224" w:type="dxa"/>
          </w:tcPr>
          <w:p w:rsidRPr="00254B7C" w:rsidR="00254B7C" w:rsidP="00254B7C" w:rsidRDefault="00254B7C" w14:paraId="798D6D46" w14:textId="77777777">
            <w:pPr>
              <w:rPr>
                <w:rFonts w:ascii="Raleway" w:hAnsi="Raleway"/>
              </w:rPr>
            </w:pPr>
          </w:p>
        </w:tc>
      </w:tr>
      <w:tr w:rsidRPr="00254B7C" w:rsidR="00254B7C" w:rsidTr="00254B7C" w14:paraId="09E294FE" w14:textId="77777777">
        <w:tc>
          <w:tcPr>
            <w:tcW w:w="5665" w:type="dxa"/>
          </w:tcPr>
          <w:p w:rsidRPr="00254B7C" w:rsidR="00254B7C" w:rsidP="00254B7C" w:rsidRDefault="00254B7C" w14:paraId="737F913C" w14:textId="58283F84">
            <w:pPr>
              <w:numPr>
                <w:ilvl w:val="0"/>
                <w:numId w:val="2"/>
              </w:numPr>
              <w:spacing w:line="278" w:lineRule="auto"/>
              <w:jc w:val="both"/>
              <w:rPr>
                <w:rFonts w:ascii="Raleway" w:hAnsi="Raleway"/>
                <w:sz w:val="22"/>
                <w:szCs w:val="22"/>
              </w:rPr>
            </w:pPr>
            <w:r w:rsidRPr="00254B7C">
              <w:rPr>
                <w:rFonts w:ascii="Raleway" w:hAnsi="Raleway"/>
                <w:sz w:val="22"/>
                <w:szCs w:val="22"/>
              </w:rPr>
              <w:t>To appoint Barker Wilkinson Limited as Reporting Accountants to hold office until the conclusion of the next Annual General Meeting</w:t>
            </w:r>
          </w:p>
        </w:tc>
        <w:tc>
          <w:tcPr>
            <w:tcW w:w="993" w:type="dxa"/>
          </w:tcPr>
          <w:p w:rsidRPr="00254B7C" w:rsidR="00254B7C" w:rsidP="00254B7C" w:rsidRDefault="00254B7C" w14:paraId="7FF3909F" w14:textId="77777777">
            <w:pPr>
              <w:rPr>
                <w:rFonts w:ascii="Raleway" w:hAnsi="Raleway"/>
              </w:rPr>
            </w:pPr>
          </w:p>
        </w:tc>
        <w:tc>
          <w:tcPr>
            <w:tcW w:w="1134" w:type="dxa"/>
          </w:tcPr>
          <w:p w:rsidRPr="00254B7C" w:rsidR="00254B7C" w:rsidP="00254B7C" w:rsidRDefault="00254B7C" w14:paraId="3E001E45" w14:textId="77777777">
            <w:pPr>
              <w:rPr>
                <w:rFonts w:ascii="Raleway" w:hAnsi="Raleway"/>
              </w:rPr>
            </w:pPr>
          </w:p>
        </w:tc>
        <w:tc>
          <w:tcPr>
            <w:tcW w:w="1224" w:type="dxa"/>
          </w:tcPr>
          <w:p w:rsidRPr="00254B7C" w:rsidR="00254B7C" w:rsidP="00254B7C" w:rsidRDefault="00254B7C" w14:paraId="2596164F" w14:textId="77777777">
            <w:pPr>
              <w:rPr>
                <w:rFonts w:ascii="Raleway" w:hAnsi="Raleway"/>
              </w:rPr>
            </w:pPr>
          </w:p>
        </w:tc>
      </w:tr>
      <w:tr w:rsidRPr="00254B7C" w:rsidR="00254B7C" w:rsidTr="00254B7C" w14:paraId="37FCA38A" w14:textId="77777777">
        <w:tc>
          <w:tcPr>
            <w:tcW w:w="5665" w:type="dxa"/>
          </w:tcPr>
          <w:p w:rsidRPr="00254B7C" w:rsidR="00254B7C" w:rsidP="00254B7C" w:rsidRDefault="00254B7C" w14:paraId="547A81E7" w14:textId="6A2645CD">
            <w:pPr>
              <w:pStyle w:val="ListParagraph"/>
              <w:numPr>
                <w:ilvl w:val="0"/>
                <w:numId w:val="2"/>
              </w:numPr>
              <w:rPr>
                <w:rFonts w:ascii="Raleway" w:hAnsi="Raleway"/>
              </w:rPr>
            </w:pPr>
            <w:r w:rsidRPr="00254B7C">
              <w:rPr>
                <w:rFonts w:ascii="Raleway" w:hAnsi="Raleway" w:eastAsia="Times New Roman" w:cs="Calibri"/>
                <w:kern w:val="0"/>
                <w:sz w:val="22"/>
                <w:szCs w:val="22"/>
                <w14:ligatures w14:val="none"/>
              </w:rPr>
              <w:t xml:space="preserve">To authorise the Directors to agree </w:t>
            </w:r>
            <w:r w:rsidRPr="00254B7C">
              <w:rPr>
                <w:rFonts w:ascii="Raleway" w:hAnsi="Raleway" w:eastAsia="Times New Roman" w:cs="Calibri"/>
                <w:kern w:val="0"/>
                <w:sz w:val="22"/>
                <w:szCs w:val="22"/>
                <w:lang w:val="en-US"/>
                <w14:ligatures w14:val="none"/>
              </w:rPr>
              <w:t>Barker Wilkinson Limited</w:t>
            </w:r>
            <w:r w:rsidRPr="00254B7C">
              <w:rPr>
                <w:rFonts w:ascii="Raleway" w:hAnsi="Raleway" w:eastAsia="Times New Roman" w:cs="Calibri"/>
                <w:kern w:val="0"/>
                <w:sz w:val="22"/>
                <w:szCs w:val="22"/>
                <w14:ligatures w14:val="none"/>
              </w:rPr>
              <w:t>’s remuneration</w:t>
            </w:r>
          </w:p>
        </w:tc>
        <w:tc>
          <w:tcPr>
            <w:tcW w:w="993" w:type="dxa"/>
          </w:tcPr>
          <w:p w:rsidRPr="00254B7C" w:rsidR="00254B7C" w:rsidP="00254B7C" w:rsidRDefault="00254B7C" w14:paraId="7AD66C82" w14:textId="77777777">
            <w:pPr>
              <w:rPr>
                <w:rFonts w:ascii="Raleway" w:hAnsi="Raleway"/>
              </w:rPr>
            </w:pPr>
          </w:p>
        </w:tc>
        <w:tc>
          <w:tcPr>
            <w:tcW w:w="1134" w:type="dxa"/>
          </w:tcPr>
          <w:p w:rsidRPr="00254B7C" w:rsidR="00254B7C" w:rsidP="00254B7C" w:rsidRDefault="00254B7C" w14:paraId="0F0D9F28" w14:textId="77777777">
            <w:pPr>
              <w:rPr>
                <w:rFonts w:ascii="Raleway" w:hAnsi="Raleway"/>
              </w:rPr>
            </w:pPr>
          </w:p>
        </w:tc>
        <w:tc>
          <w:tcPr>
            <w:tcW w:w="1224" w:type="dxa"/>
          </w:tcPr>
          <w:p w:rsidRPr="00254B7C" w:rsidR="00254B7C" w:rsidP="00254B7C" w:rsidRDefault="00254B7C" w14:paraId="189F729D" w14:textId="77777777">
            <w:pPr>
              <w:rPr>
                <w:rFonts w:ascii="Raleway" w:hAnsi="Raleway"/>
              </w:rPr>
            </w:pPr>
          </w:p>
        </w:tc>
      </w:tr>
      <w:tr w:rsidRPr="00254B7C" w:rsidR="00254B7C" w:rsidTr="00254B7C" w14:paraId="21E91080" w14:textId="77777777">
        <w:tc>
          <w:tcPr>
            <w:tcW w:w="5665" w:type="dxa"/>
          </w:tcPr>
          <w:p w:rsidRPr="00254B7C" w:rsidR="00254B7C" w:rsidP="00254B7C" w:rsidRDefault="00254B7C" w14:paraId="721AA8F1" w14:textId="3686C5C1">
            <w:pPr>
              <w:pStyle w:val="ListParagraph"/>
              <w:numPr>
                <w:ilvl w:val="0"/>
                <w:numId w:val="2"/>
              </w:numPr>
              <w:rPr>
                <w:rFonts w:ascii="Raleway" w:hAnsi="Raleway"/>
              </w:rPr>
            </w:pPr>
            <w:r w:rsidRPr="00254B7C">
              <w:rPr>
                <w:rFonts w:ascii="Raleway" w:hAnsi="Raleway" w:eastAsia="Times New Roman" w:cs="Calibri"/>
                <w:kern w:val="0"/>
                <w:sz w:val="22"/>
                <w:szCs w:val="22"/>
                <w14:ligatures w14:val="none"/>
              </w:rPr>
              <w:t>To authorise the Company to continue foregoing an audit of its financial statements for the year ended 31 December 2025 in accordance with Section 476 of the Companies Act 2006 relating to small companies which are entitled to exemption from audit under Section 477 of the Companies Act 2006</w:t>
            </w:r>
          </w:p>
        </w:tc>
        <w:tc>
          <w:tcPr>
            <w:tcW w:w="993" w:type="dxa"/>
          </w:tcPr>
          <w:p w:rsidRPr="00254B7C" w:rsidR="00254B7C" w:rsidP="00254B7C" w:rsidRDefault="00254B7C" w14:paraId="03D00E28" w14:textId="77777777">
            <w:pPr>
              <w:rPr>
                <w:rFonts w:ascii="Raleway" w:hAnsi="Raleway"/>
              </w:rPr>
            </w:pPr>
          </w:p>
        </w:tc>
        <w:tc>
          <w:tcPr>
            <w:tcW w:w="1134" w:type="dxa"/>
          </w:tcPr>
          <w:p w:rsidRPr="00254B7C" w:rsidR="00254B7C" w:rsidP="00254B7C" w:rsidRDefault="00254B7C" w14:paraId="5FBBB785" w14:textId="77777777">
            <w:pPr>
              <w:rPr>
                <w:rFonts w:ascii="Raleway" w:hAnsi="Raleway"/>
              </w:rPr>
            </w:pPr>
          </w:p>
        </w:tc>
        <w:tc>
          <w:tcPr>
            <w:tcW w:w="1224" w:type="dxa"/>
          </w:tcPr>
          <w:p w:rsidRPr="00254B7C" w:rsidR="00254B7C" w:rsidP="00254B7C" w:rsidRDefault="00254B7C" w14:paraId="3F7C62DA" w14:textId="77777777">
            <w:pPr>
              <w:rPr>
                <w:rFonts w:ascii="Raleway" w:hAnsi="Raleway"/>
              </w:rPr>
            </w:pPr>
          </w:p>
        </w:tc>
      </w:tr>
      <w:tr w:rsidRPr="00254B7C" w:rsidR="00254B7C" w:rsidTr="00254B7C" w14:paraId="54FFFE25" w14:textId="77777777">
        <w:tc>
          <w:tcPr>
            <w:tcW w:w="5665" w:type="dxa"/>
          </w:tcPr>
          <w:p w:rsidRPr="00254B7C" w:rsidR="00254B7C" w:rsidP="00254B7C" w:rsidRDefault="00254B7C" w14:paraId="6B23A775" w14:textId="555F6910">
            <w:pPr>
              <w:pStyle w:val="ListParagraph"/>
              <w:numPr>
                <w:ilvl w:val="0"/>
                <w:numId w:val="2"/>
              </w:numPr>
              <w:rPr>
                <w:rFonts w:ascii="Raleway" w:hAnsi="Raleway" w:eastAsia="Times New Roman" w:cs="Calibri"/>
                <w:kern w:val="0"/>
                <w:sz w:val="22"/>
                <w:szCs w:val="22"/>
                <w14:ligatures w14:val="none"/>
              </w:rPr>
            </w:pPr>
            <w:r w:rsidRPr="00254B7C">
              <w:rPr>
                <w:rFonts w:ascii="Raleway" w:hAnsi="Raleway" w:eastAsia="Times New Roman" w:cs="Calibri"/>
                <w:kern w:val="0"/>
                <w:sz w:val="22"/>
                <w:szCs w:val="22"/>
                <w14:ligatures w14:val="none"/>
              </w:rPr>
              <w:t>To renew the power to appoint Honorary Fellows of the Society</w:t>
            </w:r>
          </w:p>
        </w:tc>
        <w:tc>
          <w:tcPr>
            <w:tcW w:w="993" w:type="dxa"/>
          </w:tcPr>
          <w:p w:rsidRPr="00254B7C" w:rsidR="00254B7C" w:rsidP="00254B7C" w:rsidRDefault="00254B7C" w14:paraId="51DC2146" w14:textId="77777777">
            <w:pPr>
              <w:rPr>
                <w:rFonts w:ascii="Raleway" w:hAnsi="Raleway"/>
              </w:rPr>
            </w:pPr>
          </w:p>
        </w:tc>
        <w:tc>
          <w:tcPr>
            <w:tcW w:w="1134" w:type="dxa"/>
          </w:tcPr>
          <w:p w:rsidRPr="00254B7C" w:rsidR="00254B7C" w:rsidP="00254B7C" w:rsidRDefault="00254B7C" w14:paraId="04F55852" w14:textId="77777777">
            <w:pPr>
              <w:rPr>
                <w:rFonts w:ascii="Raleway" w:hAnsi="Raleway"/>
              </w:rPr>
            </w:pPr>
          </w:p>
        </w:tc>
        <w:tc>
          <w:tcPr>
            <w:tcW w:w="1224" w:type="dxa"/>
          </w:tcPr>
          <w:p w:rsidRPr="00254B7C" w:rsidR="00254B7C" w:rsidP="00254B7C" w:rsidRDefault="00254B7C" w14:paraId="5349E5C1" w14:textId="77777777">
            <w:pPr>
              <w:rPr>
                <w:rFonts w:ascii="Raleway" w:hAnsi="Raleway"/>
              </w:rPr>
            </w:pPr>
          </w:p>
        </w:tc>
      </w:tr>
    </w:tbl>
    <w:p w:rsidRPr="00680D12" w:rsidR="00254B7C" w:rsidP="4DD1C8FA" w:rsidRDefault="00254B7C" w14:paraId="3F956B4C" w14:textId="5C248754">
      <w:pPr>
        <w:pStyle w:val="Normal"/>
        <w:spacing w:after="0" w:line="240" w:lineRule="auto"/>
      </w:pPr>
    </w:p>
    <w:p w:rsidRPr="00680D12" w:rsidR="00254B7C" w:rsidP="00254B7C" w:rsidRDefault="00254B7C" w14:paraId="62420FB5" w14:textId="0B288C42">
      <w:pPr>
        <w:spacing w:after="0" w:line="240" w:lineRule="auto"/>
        <w:rPr>
          <w:rFonts w:ascii="Raleway" w:hAnsi="Raleway" w:eastAsia="Times New Roman" w:cs="Calibri"/>
          <w:kern w:val="0"/>
          <w:sz w:val="20"/>
          <w:szCs w:val="20"/>
          <w:lang w:val="en-US"/>
          <w14:ligatures w14:val="none"/>
        </w:rPr>
      </w:pPr>
      <w:r w:rsidRPr="00680D12">
        <w:rPr>
          <w:rFonts w:ascii="Raleway" w:hAnsi="Raleway" w:eastAsia="Times New Roman" w:cs="Calibri"/>
          <w:kern w:val="0"/>
          <w:sz w:val="20"/>
          <w:szCs w:val="20"/>
          <w:lang w:val="en-US"/>
          <w14:ligatures w14:val="none"/>
        </w:rPr>
        <w:t>Signature</w:t>
      </w:r>
      <w:r>
        <w:rPr>
          <w:rFonts w:ascii="Raleway" w:hAnsi="Raleway" w:eastAsia="Times New Roman" w:cs="Calibri"/>
          <w:kern w:val="0"/>
          <w:sz w:val="20"/>
          <w:szCs w:val="20"/>
          <w:lang w:val="en-US"/>
          <w14:ligatures w14:val="none"/>
        </w:rPr>
        <w:t>:</w:t>
      </w:r>
    </w:p>
    <w:p w:rsidRPr="00680D12" w:rsidR="00254B7C" w:rsidP="00254B7C" w:rsidRDefault="00254B7C" w14:paraId="08C878C2" w14:textId="77777777">
      <w:pPr>
        <w:spacing w:after="0" w:line="240" w:lineRule="auto"/>
        <w:rPr>
          <w:rFonts w:ascii="Raleway" w:hAnsi="Raleway" w:eastAsia="Times New Roman" w:cs="Calibri"/>
          <w:kern w:val="0"/>
          <w:sz w:val="20"/>
          <w:szCs w:val="20"/>
          <w:lang w:val="en-US"/>
          <w14:ligatures w14:val="none"/>
        </w:rPr>
      </w:pPr>
    </w:p>
    <w:p w:rsidRPr="00680D12" w:rsidR="00254B7C" w:rsidP="00254B7C" w:rsidRDefault="00254B7C" w14:paraId="0DCD5F61" w14:textId="33254E0E">
      <w:pPr>
        <w:spacing w:after="0" w:line="240" w:lineRule="auto"/>
        <w:rPr>
          <w:rFonts w:ascii="Raleway" w:hAnsi="Raleway" w:eastAsia="Times New Roman" w:cs="Calibri"/>
          <w:kern w:val="0"/>
          <w:sz w:val="20"/>
          <w:szCs w:val="20"/>
          <w:lang w:val="en-US"/>
          <w14:ligatures w14:val="none"/>
        </w:rPr>
      </w:pPr>
      <w:r w:rsidRPr="00680D12">
        <w:rPr>
          <w:rFonts w:ascii="Raleway" w:hAnsi="Raleway" w:eastAsia="Times New Roman" w:cs="Calibri"/>
          <w:kern w:val="0"/>
          <w:sz w:val="20"/>
          <w:szCs w:val="20"/>
          <w:lang w:val="en-US"/>
          <w14:ligatures w14:val="none"/>
        </w:rPr>
        <w:t>Print Name</w:t>
      </w:r>
      <w:r>
        <w:rPr>
          <w:rFonts w:ascii="Raleway" w:hAnsi="Raleway" w:eastAsia="Times New Roman" w:cs="Calibri"/>
          <w:kern w:val="0"/>
          <w:sz w:val="20"/>
          <w:szCs w:val="20"/>
          <w:lang w:val="en-US"/>
          <w14:ligatures w14:val="none"/>
        </w:rPr>
        <w:t>:</w:t>
      </w:r>
    </w:p>
    <w:p w:rsidRPr="00680D12" w:rsidR="00254B7C" w:rsidP="00254B7C" w:rsidRDefault="00254B7C" w14:paraId="56B65160" w14:textId="77777777">
      <w:pPr>
        <w:spacing w:after="0" w:line="240" w:lineRule="auto"/>
        <w:rPr>
          <w:rFonts w:ascii="Raleway" w:hAnsi="Raleway" w:eastAsia="Times New Roman" w:cs="Calibri"/>
          <w:kern w:val="0"/>
          <w:sz w:val="20"/>
          <w:szCs w:val="20"/>
          <w:lang w:val="en-US"/>
          <w14:ligatures w14:val="none"/>
        </w:rPr>
      </w:pPr>
    </w:p>
    <w:p w:rsidR="00254B7C" w:rsidP="00254B7C" w:rsidRDefault="00254B7C" w14:paraId="1C3B2AEA" w14:textId="55DF5EAD">
      <w:pPr>
        <w:spacing w:after="0" w:line="240" w:lineRule="auto"/>
        <w:rPr>
          <w:rFonts w:ascii="Raleway" w:hAnsi="Raleway" w:eastAsia="Times New Roman" w:cs="Calibri"/>
          <w:kern w:val="0"/>
          <w:sz w:val="20"/>
          <w:szCs w:val="20"/>
          <w:lang w:val="en-US"/>
          <w14:ligatures w14:val="none"/>
        </w:rPr>
      </w:pPr>
      <w:r>
        <w:rPr>
          <w:rFonts w:ascii="Raleway" w:hAnsi="Raleway" w:eastAsia="Times New Roman" w:cs="Calibri"/>
          <w:kern w:val="0"/>
          <w:sz w:val="20"/>
          <w:szCs w:val="20"/>
          <w:lang w:val="en-US"/>
          <w14:ligatures w14:val="none"/>
        </w:rPr>
        <w:t xml:space="preserve">Date: </w:t>
      </w:r>
    </w:p>
    <w:p w:rsidR="00254B7C" w:rsidP="00254B7C" w:rsidRDefault="00254B7C" w14:paraId="7FE18E00" w14:textId="77777777">
      <w:pPr>
        <w:spacing w:after="0" w:line="240" w:lineRule="auto"/>
        <w:rPr>
          <w:rFonts w:ascii="Raleway" w:hAnsi="Raleway" w:eastAsia="Times New Roman" w:cs="Calibri"/>
          <w:kern w:val="0"/>
          <w:sz w:val="20"/>
          <w:szCs w:val="20"/>
          <w:lang w:val="en-US"/>
          <w14:ligatures w14:val="none"/>
        </w:rPr>
      </w:pPr>
    </w:p>
    <w:p w:rsidRPr="00680D12" w:rsidR="00254B7C" w:rsidP="00254B7C" w:rsidRDefault="00254B7C" w14:paraId="730BB984" w14:textId="77777777">
      <w:pPr>
        <w:spacing w:after="0" w:line="240" w:lineRule="auto"/>
        <w:rPr>
          <w:rFonts w:ascii="Raleway" w:hAnsi="Raleway" w:eastAsia="Times New Roman" w:cs="Calibri"/>
          <w:kern w:val="0"/>
          <w:sz w:val="20"/>
          <w:szCs w:val="20"/>
          <w:lang w:val="en-US"/>
          <w14:ligatures w14:val="non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7"/>
        <w:gridCol w:w="8367"/>
      </w:tblGrid>
      <w:tr w:rsidRPr="00680D12" w:rsidR="00254B7C" w:rsidTr="4DD1C8FA" w14:paraId="7BF103F5" w14:textId="77777777">
        <w:tblPrEx>
          <w:tblCellMar>
            <w:top w:w="0" w:type="dxa"/>
            <w:bottom w:w="0" w:type="dxa"/>
          </w:tblCellMar>
        </w:tblPrEx>
        <w:tc>
          <w:tcPr>
            <w:tcW w:w="447" w:type="dxa"/>
            <w:tcBorders>
              <w:top w:val="nil"/>
              <w:left w:val="nil"/>
              <w:bottom w:val="nil"/>
              <w:right w:val="nil"/>
            </w:tcBorders>
            <w:tcMar/>
          </w:tcPr>
          <w:p w:rsidRPr="00680D12" w:rsidR="00254B7C" w:rsidP="4DD1C8FA" w:rsidRDefault="00254B7C" w14:paraId="24EA171F" w14:textId="77777777">
            <w:pPr>
              <w:spacing w:after="0" w:line="240" w:lineRule="auto"/>
              <w:rPr>
                <w:rFonts w:ascii="Raleway" w:hAnsi="Raleway" w:eastAsia="Times New Roman" w:cs="Calibri"/>
                <w:b w:val="1"/>
                <w:bCs w:val="1"/>
                <w:kern w:val="0"/>
                <w:sz w:val="16"/>
                <w:szCs w:val="16"/>
                <w14:ligatures w14:val="none"/>
              </w:rPr>
            </w:pPr>
          </w:p>
        </w:tc>
        <w:tc>
          <w:tcPr>
            <w:tcW w:w="8367" w:type="dxa"/>
            <w:tcBorders>
              <w:top w:val="nil"/>
              <w:left w:val="nil"/>
              <w:bottom w:val="nil"/>
              <w:right w:val="nil"/>
            </w:tcBorders>
            <w:tcMar/>
          </w:tcPr>
          <w:p w:rsidRPr="00680D12" w:rsidR="00254B7C" w:rsidP="4DD1C8FA" w:rsidRDefault="00254B7C" w14:paraId="4385B802" w14:textId="77777777">
            <w:pPr>
              <w:spacing w:after="0" w:line="240" w:lineRule="auto"/>
              <w:rPr>
                <w:rFonts w:ascii="Raleway" w:hAnsi="Raleway" w:eastAsia="Times New Roman" w:cs="Calibri"/>
                <w:b w:val="1"/>
                <w:bCs w:val="1"/>
                <w:kern w:val="0"/>
                <w:sz w:val="16"/>
                <w:szCs w:val="16"/>
                <w14:ligatures w14:val="none"/>
              </w:rPr>
            </w:pPr>
            <w:r w:rsidRPr="4DD1C8FA" w:rsidR="00254B7C">
              <w:rPr>
                <w:rFonts w:ascii="Raleway" w:hAnsi="Raleway" w:eastAsia="Times New Roman" w:cs="Calibri"/>
                <w:b w:val="1"/>
                <w:bCs w:val="1"/>
                <w:kern w:val="0"/>
                <w:sz w:val="16"/>
                <w:szCs w:val="16"/>
                <w14:ligatures w14:val="none"/>
              </w:rPr>
              <w:t>Notes</w:t>
            </w:r>
          </w:p>
        </w:tc>
      </w:tr>
      <w:tr w:rsidRPr="00680D12" w:rsidR="00254B7C" w:rsidTr="4DD1C8FA" w14:paraId="13C2CAC7" w14:textId="77777777">
        <w:tblPrEx>
          <w:tblCellMar>
            <w:top w:w="0" w:type="dxa"/>
            <w:bottom w:w="0" w:type="dxa"/>
          </w:tblCellMar>
        </w:tblPrEx>
        <w:tc>
          <w:tcPr>
            <w:tcW w:w="447" w:type="dxa"/>
            <w:tcBorders>
              <w:top w:val="nil"/>
              <w:left w:val="nil"/>
              <w:bottom w:val="nil"/>
              <w:right w:val="nil"/>
            </w:tcBorders>
            <w:tcMar/>
          </w:tcPr>
          <w:p w:rsidRPr="00680D12" w:rsidR="00254B7C" w:rsidP="4DD1C8FA" w:rsidRDefault="00254B7C" w14:paraId="6831C909" w14:textId="77777777">
            <w:pPr>
              <w:spacing w:after="0" w:line="240" w:lineRule="auto"/>
              <w:rPr>
                <w:rFonts w:ascii="Raleway" w:hAnsi="Raleway" w:eastAsia="Times New Roman" w:cs="Calibri"/>
                <w:b w:val="1"/>
                <w:bCs w:val="1"/>
                <w:kern w:val="0"/>
                <w:sz w:val="16"/>
                <w:szCs w:val="16"/>
                <w:lang w:val="en-US"/>
                <w14:ligatures w14:val="none"/>
              </w:rPr>
            </w:pPr>
            <w:r w:rsidRPr="4DD1C8FA" w:rsidR="00254B7C">
              <w:rPr>
                <w:rFonts w:ascii="Raleway" w:hAnsi="Raleway" w:eastAsia="Times New Roman" w:cs="Calibri"/>
                <w:b w:val="1"/>
                <w:bCs w:val="1"/>
                <w:kern w:val="0"/>
                <w:sz w:val="16"/>
                <w:szCs w:val="16"/>
                <w:lang w:val="en-US"/>
                <w14:ligatures w14:val="none"/>
              </w:rPr>
              <w:t>1</w:t>
            </w:r>
          </w:p>
        </w:tc>
        <w:tc>
          <w:tcPr>
            <w:tcW w:w="8367" w:type="dxa"/>
            <w:tcBorders>
              <w:top w:val="nil"/>
              <w:left w:val="nil"/>
              <w:bottom w:val="nil"/>
              <w:right w:val="nil"/>
            </w:tcBorders>
            <w:tcMar/>
          </w:tcPr>
          <w:p w:rsidRPr="00680D12" w:rsidR="00254B7C" w:rsidP="4DD1C8FA" w:rsidRDefault="00254B7C" w14:paraId="58FA41FF" w14:textId="311DCCA6">
            <w:pPr>
              <w:spacing w:after="0" w:line="240" w:lineRule="auto"/>
              <w:rPr>
                <w:rFonts w:ascii="Raleway" w:hAnsi="Raleway" w:eastAsia="Times New Roman" w:cs="Calibri"/>
                <w:kern w:val="0"/>
                <w:sz w:val="16"/>
                <w:szCs w:val="16"/>
                <w:lang w:val="en-GB"/>
                <w14:ligatures w14:val="none"/>
              </w:rPr>
            </w:pPr>
            <w:r w:rsidRPr="4DD1C8FA" w:rsidR="00254B7C">
              <w:rPr>
                <w:rFonts w:ascii="Raleway" w:hAnsi="Raleway" w:eastAsia="Times New Roman" w:cs="Calibri"/>
                <w:kern w:val="0"/>
                <w:sz w:val="16"/>
                <w:szCs w:val="16"/>
                <w:lang w:val="en-GB"/>
                <w14:ligatures w14:val="none"/>
              </w:rPr>
              <w:t xml:space="preserve">This proxy form must be returned by email to </w:t>
            </w:r>
            <w:r>
              <w:fldChar w:fldCharType="begin"/>
            </w:r>
            <w:r>
              <w:instrText xml:space="preserve">HYPERLINK "mailto:anneka.finnane@irsociety.org.uk"</w:instrText>
            </w:r>
            <w:r>
              <w:fldChar w:fldCharType="separate"/>
            </w:r>
            <w:r w:rsidRPr="4DD1C8FA" w:rsidR="00254B7C">
              <w:rPr>
                <w:rFonts w:ascii="Raleway" w:hAnsi="Raleway" w:eastAsia="Times New Roman" w:cs="Calibri"/>
                <w:color w:val="0563C1"/>
                <w:kern w:val="0"/>
                <w:sz w:val="16"/>
                <w:szCs w:val="16"/>
                <w:u w:val="single"/>
                <w:lang w:val="en-GB"/>
                <w14:ligatures w14:val="none"/>
              </w:rPr>
              <w:t>anneka.finnane@irsociety.org.uk</w:t>
            </w:r>
            <w:r>
              <w:fldChar w:fldCharType="end"/>
            </w:r>
            <w:r w:rsidRPr="4DD1C8FA" w:rsidR="00254B7C">
              <w:rPr>
                <w:rFonts w:ascii="Raleway" w:hAnsi="Raleway" w:eastAsia="Times New Roman" w:cs="Calibri"/>
                <w:kern w:val="0"/>
                <w:sz w:val="16"/>
                <w:szCs w:val="16"/>
                <w:lang w:val="en-GB"/>
                <w14:ligatures w14:val="none"/>
              </w:rPr>
              <w:t xml:space="preserve"> no later than 18:00 hours on </w:t>
            </w:r>
            <w:r w:rsidRPr="4DD1C8FA" w:rsidR="00254B7C">
              <w:rPr>
                <w:rFonts w:ascii="Raleway" w:hAnsi="Raleway" w:eastAsia="Times New Roman" w:cs="Calibri"/>
                <w:kern w:val="0"/>
                <w:sz w:val="16"/>
                <w:szCs w:val="16"/>
                <w:lang w:val="en-GB"/>
                <w14:ligatures w14:val="none"/>
              </w:rPr>
              <w:t>Friday 29</w:t>
            </w:r>
            <w:r w:rsidRPr="4DD1C8FA" w:rsidR="00254B7C">
              <w:rPr>
                <w:rFonts w:ascii="Raleway" w:hAnsi="Raleway" w:eastAsia="Times New Roman" w:cs="Calibri"/>
                <w:kern w:val="0"/>
                <w:sz w:val="16"/>
                <w:szCs w:val="16"/>
                <w:vertAlign w:val="superscript"/>
                <w:lang w:val="en-GB"/>
                <w14:ligatures w14:val="none"/>
              </w:rPr>
              <w:t>th</w:t>
            </w:r>
            <w:r w:rsidRPr="4DD1C8FA" w:rsidR="00254B7C">
              <w:rPr>
                <w:rFonts w:ascii="Raleway" w:hAnsi="Raleway" w:eastAsia="Times New Roman" w:cs="Calibri"/>
                <w:kern w:val="0"/>
                <w:sz w:val="16"/>
                <w:szCs w:val="16"/>
                <w:lang w:val="en-GB"/>
                <w14:ligatures w14:val="none"/>
              </w:rPr>
              <w:t xml:space="preserve"> May 2026</w:t>
            </w:r>
            <w:r w:rsidRPr="4DD1C8FA" w:rsidR="00254B7C">
              <w:rPr>
                <w:rFonts w:ascii="Raleway" w:hAnsi="Raleway" w:eastAsia="Times New Roman" w:cs="Calibri"/>
                <w:kern w:val="0"/>
                <w:sz w:val="16"/>
                <w:szCs w:val="16"/>
                <w:lang w:val="en-GB"/>
                <w14:ligatures w14:val="none"/>
              </w:rPr>
              <w:t xml:space="preserve">.  </w:t>
            </w:r>
          </w:p>
        </w:tc>
      </w:tr>
      <w:tr w:rsidRPr="00680D12" w:rsidR="00254B7C" w:rsidTr="4DD1C8FA" w14:paraId="0D9E6E45" w14:textId="77777777">
        <w:tblPrEx>
          <w:tblCellMar>
            <w:top w:w="0" w:type="dxa"/>
            <w:bottom w:w="0" w:type="dxa"/>
          </w:tblCellMar>
        </w:tblPrEx>
        <w:tc>
          <w:tcPr>
            <w:tcW w:w="447" w:type="dxa"/>
            <w:tcBorders>
              <w:top w:val="nil"/>
              <w:left w:val="nil"/>
              <w:bottom w:val="nil"/>
              <w:right w:val="nil"/>
            </w:tcBorders>
            <w:tcMar/>
          </w:tcPr>
          <w:p w:rsidRPr="00680D12" w:rsidR="00254B7C" w:rsidP="4DD1C8FA" w:rsidRDefault="00254B7C" w14:paraId="32E9E06D" w14:textId="77777777">
            <w:pPr>
              <w:spacing w:after="0" w:line="240" w:lineRule="auto"/>
              <w:rPr>
                <w:rFonts w:ascii="Raleway" w:hAnsi="Raleway" w:eastAsia="Times New Roman" w:cs="Calibri"/>
                <w:b w:val="1"/>
                <w:bCs w:val="1"/>
                <w:kern w:val="0"/>
                <w:sz w:val="16"/>
                <w:szCs w:val="16"/>
                <w14:ligatures w14:val="none"/>
              </w:rPr>
            </w:pPr>
            <w:r w:rsidRPr="4DD1C8FA" w:rsidR="00254B7C">
              <w:rPr>
                <w:rFonts w:ascii="Raleway" w:hAnsi="Raleway" w:eastAsia="Times New Roman" w:cs="Calibri"/>
                <w:b w:val="1"/>
                <w:bCs w:val="1"/>
                <w:kern w:val="0"/>
                <w:sz w:val="16"/>
                <w:szCs w:val="16"/>
                <w14:ligatures w14:val="none"/>
              </w:rPr>
              <w:t>2</w:t>
            </w:r>
          </w:p>
        </w:tc>
        <w:tc>
          <w:tcPr>
            <w:tcW w:w="8367" w:type="dxa"/>
            <w:tcBorders>
              <w:top w:val="nil"/>
              <w:left w:val="nil"/>
              <w:bottom w:val="nil"/>
              <w:right w:val="nil"/>
            </w:tcBorders>
            <w:tcMar/>
          </w:tcPr>
          <w:p w:rsidRPr="00680D12" w:rsidR="00254B7C" w:rsidP="4DD1C8FA" w:rsidRDefault="00254B7C" w14:paraId="51538EE9" w14:textId="207FBEAE">
            <w:pPr>
              <w:spacing w:after="0" w:line="240" w:lineRule="auto"/>
              <w:rPr>
                <w:rFonts w:ascii="Raleway" w:hAnsi="Raleway" w:eastAsia="Times New Roman" w:cs="Calibri"/>
                <w:kern w:val="0"/>
                <w:sz w:val="16"/>
                <w:szCs w:val="16"/>
                <w14:ligatures w14:val="none"/>
              </w:rPr>
            </w:pPr>
            <w:r w:rsidRPr="4DD1C8FA" w:rsidR="00254B7C">
              <w:rPr>
                <w:rFonts w:ascii="Raleway" w:hAnsi="Raleway" w:eastAsia="Times New Roman" w:cs="Calibri"/>
                <w:kern w:val="0"/>
                <w:sz w:val="16"/>
                <w:szCs w:val="16"/>
                <w14:ligatures w14:val="none"/>
              </w:rPr>
              <w:t xml:space="preserve">Any alterations to this form should be initialled and need to be submitted via email no later than 18:00 hours on </w:t>
            </w:r>
            <w:r w:rsidRPr="4DD1C8FA" w:rsidR="00254B7C">
              <w:rPr>
                <w:rFonts w:ascii="Raleway" w:hAnsi="Raleway" w:eastAsia="Times New Roman" w:cs="Calibri"/>
                <w:kern w:val="0"/>
                <w:sz w:val="16"/>
                <w:szCs w:val="16"/>
                <w:lang w:val="en-US"/>
                <w14:ligatures w14:val="none"/>
              </w:rPr>
              <w:t>Friday 29</w:t>
            </w:r>
            <w:r w:rsidRPr="4DD1C8FA" w:rsidR="00254B7C">
              <w:rPr>
                <w:rFonts w:ascii="Raleway" w:hAnsi="Raleway" w:eastAsia="Times New Roman" w:cs="Calibri"/>
                <w:kern w:val="0"/>
                <w:sz w:val="16"/>
                <w:szCs w:val="16"/>
                <w:vertAlign w:val="superscript"/>
                <w:lang w:val="en-US"/>
                <w14:ligatures w14:val="none"/>
              </w:rPr>
              <w:t>th</w:t>
            </w:r>
            <w:r w:rsidRPr="4DD1C8FA" w:rsidR="00254B7C">
              <w:rPr>
                <w:rFonts w:ascii="Raleway" w:hAnsi="Raleway" w:eastAsia="Times New Roman" w:cs="Calibri"/>
                <w:kern w:val="0"/>
                <w:sz w:val="16"/>
                <w:szCs w:val="16"/>
                <w:lang w:val="en-US"/>
                <w14:ligatures w14:val="none"/>
              </w:rPr>
              <w:t xml:space="preserve"> May 2026</w:t>
            </w:r>
            <w:r w:rsidRPr="4DD1C8FA" w:rsidR="00254B7C">
              <w:rPr>
                <w:rFonts w:ascii="Raleway" w:hAnsi="Raleway" w:eastAsia="Times New Roman" w:cs="Calibri"/>
                <w:kern w:val="0"/>
                <w:sz w:val="16"/>
                <w:szCs w:val="16"/>
                <w14:ligatures w14:val="none"/>
              </w:rPr>
              <w:t>.</w:t>
            </w:r>
          </w:p>
        </w:tc>
      </w:tr>
      <w:tr w:rsidRPr="00680D12" w:rsidR="00254B7C" w:rsidTr="4DD1C8FA" w14:paraId="1BDC958E" w14:textId="77777777">
        <w:tblPrEx>
          <w:tblCellMar>
            <w:top w:w="0" w:type="dxa"/>
            <w:bottom w:w="0" w:type="dxa"/>
          </w:tblCellMar>
        </w:tblPrEx>
        <w:tc>
          <w:tcPr>
            <w:tcW w:w="447" w:type="dxa"/>
            <w:tcBorders>
              <w:top w:val="nil"/>
              <w:left w:val="nil"/>
              <w:bottom w:val="nil"/>
              <w:right w:val="nil"/>
            </w:tcBorders>
            <w:tcMar/>
          </w:tcPr>
          <w:p w:rsidRPr="00680D12" w:rsidR="00254B7C" w:rsidP="4DD1C8FA" w:rsidRDefault="00254B7C" w14:paraId="11F8F694" w14:textId="77777777">
            <w:pPr>
              <w:spacing w:after="0" w:line="240" w:lineRule="auto"/>
              <w:rPr>
                <w:rFonts w:ascii="Raleway" w:hAnsi="Raleway" w:eastAsia="Times New Roman" w:cs="Calibri"/>
                <w:b w:val="1"/>
                <w:bCs w:val="1"/>
                <w:kern w:val="0"/>
                <w:sz w:val="16"/>
                <w:szCs w:val="16"/>
                <w14:ligatures w14:val="none"/>
              </w:rPr>
            </w:pPr>
            <w:r w:rsidRPr="4DD1C8FA" w:rsidR="00254B7C">
              <w:rPr>
                <w:rFonts w:ascii="Raleway" w:hAnsi="Raleway" w:eastAsia="Times New Roman" w:cs="Calibri"/>
                <w:b w:val="1"/>
                <w:bCs w:val="1"/>
                <w:kern w:val="0"/>
                <w:sz w:val="16"/>
                <w:szCs w:val="16"/>
                <w14:ligatures w14:val="none"/>
              </w:rPr>
              <w:t>3</w:t>
            </w:r>
          </w:p>
        </w:tc>
        <w:tc>
          <w:tcPr>
            <w:tcW w:w="8367" w:type="dxa"/>
            <w:tcBorders>
              <w:top w:val="nil"/>
              <w:left w:val="nil"/>
              <w:bottom w:val="nil"/>
              <w:right w:val="nil"/>
            </w:tcBorders>
            <w:tcMar/>
          </w:tcPr>
          <w:p w:rsidRPr="00680D12" w:rsidR="00254B7C" w:rsidP="4DD1C8FA" w:rsidRDefault="00254B7C" w14:paraId="1718575F" w14:textId="77777777">
            <w:pPr>
              <w:spacing w:after="0" w:line="240" w:lineRule="auto"/>
              <w:rPr>
                <w:rFonts w:ascii="Raleway" w:hAnsi="Raleway" w:eastAsia="Times New Roman" w:cs="Calibri"/>
                <w:kern w:val="0"/>
                <w:sz w:val="16"/>
                <w:szCs w:val="16"/>
                <w14:ligatures w14:val="none"/>
              </w:rPr>
            </w:pPr>
            <w:r w:rsidRPr="4DD1C8FA" w:rsidR="00254B7C">
              <w:rPr>
                <w:rFonts w:ascii="Raleway" w:hAnsi="Raleway" w:eastAsia="Times New Roman" w:cs="Calibri"/>
                <w:kern w:val="0"/>
                <w:sz w:val="16"/>
                <w:szCs w:val="16"/>
                <w14:ligatures w14:val="none"/>
              </w:rPr>
              <w:t>Your proxy may vote as they choose on any resolution for which you do not give an instruction and on any amended resolutions or other procedural issues that might arise at the meeting.</w:t>
            </w:r>
          </w:p>
        </w:tc>
      </w:tr>
      <w:tr w:rsidRPr="00680D12" w:rsidR="00254B7C" w:rsidTr="4DD1C8FA" w14:paraId="69A0C747" w14:textId="77777777">
        <w:tblPrEx>
          <w:tblCellMar>
            <w:top w:w="0" w:type="dxa"/>
            <w:bottom w:w="0" w:type="dxa"/>
          </w:tblCellMar>
        </w:tblPrEx>
        <w:trPr>
          <w:trHeight w:val="300"/>
        </w:trPr>
        <w:tc>
          <w:tcPr>
            <w:tcW w:w="447" w:type="dxa"/>
            <w:tcBorders>
              <w:top w:val="nil"/>
              <w:left w:val="nil"/>
              <w:bottom w:val="nil"/>
              <w:right w:val="nil"/>
            </w:tcBorders>
            <w:tcMar/>
          </w:tcPr>
          <w:p w:rsidRPr="00680D12" w:rsidR="00254B7C" w:rsidP="4DD1C8FA" w:rsidRDefault="00254B7C" w14:paraId="78622B58" w14:textId="77777777">
            <w:pPr>
              <w:spacing w:after="0" w:line="240" w:lineRule="auto"/>
              <w:rPr>
                <w:rFonts w:ascii="Raleway" w:hAnsi="Raleway" w:eastAsia="Times New Roman" w:cs="Calibri"/>
                <w:b w:val="1"/>
                <w:bCs w:val="1"/>
                <w:kern w:val="0"/>
                <w:sz w:val="16"/>
                <w:szCs w:val="16"/>
                <w14:ligatures w14:val="none"/>
              </w:rPr>
            </w:pPr>
            <w:r w:rsidRPr="4DD1C8FA" w:rsidR="00254B7C">
              <w:rPr>
                <w:rFonts w:ascii="Raleway" w:hAnsi="Raleway" w:eastAsia="Times New Roman" w:cs="Calibri"/>
                <w:b w:val="1"/>
                <w:bCs w:val="1"/>
                <w:kern w:val="0"/>
                <w:sz w:val="16"/>
                <w:szCs w:val="16"/>
                <w14:ligatures w14:val="none"/>
              </w:rPr>
              <w:t>4</w:t>
            </w:r>
          </w:p>
        </w:tc>
        <w:tc>
          <w:tcPr>
            <w:tcW w:w="8367" w:type="dxa"/>
            <w:tcBorders>
              <w:top w:val="nil"/>
              <w:left w:val="nil"/>
              <w:bottom w:val="nil"/>
              <w:right w:val="nil"/>
            </w:tcBorders>
            <w:tcMar/>
          </w:tcPr>
          <w:p w:rsidRPr="00680D12" w:rsidR="00254B7C" w:rsidP="4DD1C8FA" w:rsidRDefault="00254B7C" w14:paraId="6925C91A" w14:textId="77777777">
            <w:pPr>
              <w:spacing w:after="0" w:line="240" w:lineRule="auto"/>
              <w:rPr>
                <w:rFonts w:ascii="Raleway" w:hAnsi="Raleway" w:eastAsia="Times New Roman" w:cs="Calibri"/>
                <w:kern w:val="0"/>
                <w:sz w:val="16"/>
                <w:szCs w:val="16"/>
                <w14:ligatures w14:val="none"/>
              </w:rPr>
            </w:pPr>
            <w:r w:rsidRPr="4DD1C8FA" w:rsidR="00254B7C">
              <w:rPr>
                <w:rFonts w:ascii="Raleway" w:hAnsi="Raleway" w:eastAsia="Times New Roman" w:cs="Calibri"/>
                <w:kern w:val="0"/>
                <w:sz w:val="16"/>
                <w:szCs w:val="16"/>
                <w14:ligatures w14:val="none"/>
              </w:rPr>
              <w:t xml:space="preserve">The “vote withheld” option above is provided to enable you to abstain on any </w:t>
            </w:r>
            <w:r w:rsidRPr="4DD1C8FA" w:rsidR="00254B7C">
              <w:rPr>
                <w:rFonts w:ascii="Raleway" w:hAnsi="Raleway" w:eastAsia="Times New Roman" w:cs="Calibri"/>
                <w:kern w:val="0"/>
                <w:sz w:val="16"/>
                <w:szCs w:val="16"/>
                <w14:ligatures w14:val="none"/>
              </w:rPr>
              <w:t>particular resolution</w:t>
            </w:r>
            <w:r w:rsidRPr="4DD1C8FA" w:rsidR="00254B7C">
              <w:rPr>
                <w:rFonts w:ascii="Raleway" w:hAnsi="Raleway" w:eastAsia="Times New Roman" w:cs="Calibri"/>
                <w:kern w:val="0"/>
                <w:sz w:val="16"/>
                <w:szCs w:val="16"/>
                <w14:ligatures w14:val="none"/>
              </w:rPr>
              <w:t xml:space="preserve">. However, it should be noted that a “vote withheld” is not a vote in law and will not be counted in the calculation of the proportion of votes “for” and “against” a resolution. </w:t>
            </w:r>
          </w:p>
        </w:tc>
      </w:tr>
    </w:tbl>
    <w:p w:rsidR="009F3F0C" w:rsidP="4DD1C8FA" w:rsidRDefault="009F3F0C" w14:paraId="23328896" w14:textId="1771B8C4">
      <w:pPr>
        <w:pStyle w:val="Normal"/>
        <w:spacing w:after="0" w:line="240" w:lineRule="auto"/>
        <w:rPr>
          <w:rFonts w:ascii="Raleway" w:hAnsi="Raleway" w:eastAsia="Times New Roman" w:cs="Calibri"/>
          <w:sz w:val="18"/>
          <w:szCs w:val="18"/>
        </w:rPr>
      </w:pPr>
    </w:p>
    <w:sectPr w:rsidR="009F3F0C">
      <w:headerReference w:type="default" r:id="rId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0060" w:rsidP="00254B7C" w:rsidRDefault="00DE0060" w14:paraId="77D3A0F8" w14:textId="77777777">
      <w:pPr>
        <w:spacing w:after="0" w:line="240" w:lineRule="auto"/>
      </w:pPr>
      <w:r>
        <w:separator/>
      </w:r>
    </w:p>
  </w:endnote>
  <w:endnote w:type="continuationSeparator" w:id="0">
    <w:p w:rsidR="00DE0060" w:rsidP="00254B7C" w:rsidRDefault="00DE0060" w14:paraId="222F07D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0060" w:rsidP="00254B7C" w:rsidRDefault="00DE0060" w14:paraId="0D9044E7" w14:textId="77777777">
      <w:pPr>
        <w:spacing w:after="0" w:line="240" w:lineRule="auto"/>
      </w:pPr>
      <w:r>
        <w:separator/>
      </w:r>
    </w:p>
  </w:footnote>
  <w:footnote w:type="continuationSeparator" w:id="0">
    <w:p w:rsidR="00DE0060" w:rsidP="00254B7C" w:rsidRDefault="00DE0060" w14:paraId="649281D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54B7C" w:rsidR="00254B7C" w:rsidP="00254B7C" w:rsidRDefault="00254B7C" w14:paraId="1517E42E" w14:textId="60B969A3">
    <w:pPr>
      <w:pStyle w:val="Header"/>
    </w:pPr>
    <w:r>
      <w:rPr>
        <w:noProof/>
      </w:rPr>
      <w:drawing>
        <wp:inline distT="0" distB="0" distL="0" distR="0" wp14:anchorId="441676C5" wp14:editId="6BA236E1">
          <wp:extent cx="1612900" cy="585344"/>
          <wp:effectExtent l="0" t="0" r="6350" b="5715"/>
          <wp:docPr id="89160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608043" name="Picture 891608043"/>
                  <pic:cNvPicPr/>
                </pic:nvPicPr>
                <pic:blipFill>
                  <a:blip r:embed="rId1">
                    <a:extLst>
                      <a:ext uri="{28A0092B-C50C-407E-A947-70E740481C1C}">
                        <a14:useLocalDpi xmlns:a14="http://schemas.microsoft.com/office/drawing/2010/main" val="0"/>
                      </a:ext>
                    </a:extLst>
                  </a:blip>
                  <a:stretch>
                    <a:fillRect/>
                  </a:stretch>
                </pic:blipFill>
                <pic:spPr>
                  <a:xfrm>
                    <a:off x="0" y="0"/>
                    <a:ext cx="1617506" cy="5870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67"/>
    <w:multiLevelType w:val="hybridMultilevel"/>
    <w:tmpl w:val="4882F044"/>
    <w:lvl w:ilvl="0" w:tplc="49DC0724">
      <w:start w:val="1"/>
      <w:numFmt w:val="decimal"/>
      <w:lvlText w:val="%1."/>
      <w:lvlJc w:val="left"/>
      <w:pPr>
        <w:ind w:left="720" w:hanging="360"/>
      </w:pPr>
      <w:rPr>
        <w:rFonts w:hint="default" w:ascii="Calibri" w:hAnsi="Calibri" w:eastAsia="Times New Roman"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F2CC0"/>
    <w:multiLevelType w:val="hybridMultilevel"/>
    <w:tmpl w:val="FD50A2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BDA2326"/>
    <w:multiLevelType w:val="hybridMultilevel"/>
    <w:tmpl w:val="ADE81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791929">
    <w:abstractNumId w:val="1"/>
  </w:num>
  <w:num w:numId="2" w16cid:durableId="1065687595">
    <w:abstractNumId w:val="0"/>
  </w:num>
  <w:num w:numId="3" w16cid:durableId="38661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F0C"/>
    <w:rsid w:val="00254B7C"/>
    <w:rsid w:val="00411A7E"/>
    <w:rsid w:val="00761805"/>
    <w:rsid w:val="008A2873"/>
    <w:rsid w:val="009F3F0C"/>
    <w:rsid w:val="00C96E3B"/>
    <w:rsid w:val="00DE0060"/>
    <w:rsid w:val="4DD1C8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B51C8"/>
  <w15:chartTrackingRefBased/>
  <w15:docId w15:val="{D21FB21F-E904-46B4-BB71-18C67A1F0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F0C"/>
  </w:style>
  <w:style w:type="paragraph" w:styleId="Heading1">
    <w:name w:val="heading 1"/>
    <w:basedOn w:val="Normal"/>
    <w:next w:val="Normal"/>
    <w:link w:val="Heading1Char"/>
    <w:uiPriority w:val="9"/>
    <w:qFormat/>
    <w:rsid w:val="009F3F0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F0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F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F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F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F0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3F0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3F0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3F0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3F0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3F0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3F0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3F0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3F0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3F0C"/>
    <w:rPr>
      <w:rFonts w:eastAsiaTheme="majorEastAsia" w:cstheme="majorBidi"/>
      <w:color w:val="272727" w:themeColor="text1" w:themeTint="D8"/>
    </w:rPr>
  </w:style>
  <w:style w:type="paragraph" w:styleId="Title">
    <w:name w:val="Title"/>
    <w:basedOn w:val="Normal"/>
    <w:next w:val="Normal"/>
    <w:link w:val="TitleChar"/>
    <w:uiPriority w:val="10"/>
    <w:qFormat/>
    <w:rsid w:val="009F3F0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3F0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3F0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3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F0C"/>
    <w:pPr>
      <w:spacing w:before="160"/>
      <w:jc w:val="center"/>
    </w:pPr>
    <w:rPr>
      <w:i/>
      <w:iCs/>
      <w:color w:val="404040" w:themeColor="text1" w:themeTint="BF"/>
    </w:rPr>
  </w:style>
  <w:style w:type="character" w:styleId="QuoteChar" w:customStyle="1">
    <w:name w:val="Quote Char"/>
    <w:basedOn w:val="DefaultParagraphFont"/>
    <w:link w:val="Quote"/>
    <w:uiPriority w:val="29"/>
    <w:rsid w:val="009F3F0C"/>
    <w:rPr>
      <w:i/>
      <w:iCs/>
      <w:color w:val="404040" w:themeColor="text1" w:themeTint="BF"/>
    </w:rPr>
  </w:style>
  <w:style w:type="paragraph" w:styleId="ListParagraph">
    <w:name w:val="List Paragraph"/>
    <w:basedOn w:val="Normal"/>
    <w:uiPriority w:val="34"/>
    <w:qFormat/>
    <w:rsid w:val="009F3F0C"/>
    <w:pPr>
      <w:ind w:left="720"/>
      <w:contextualSpacing/>
    </w:pPr>
  </w:style>
  <w:style w:type="character" w:styleId="IntenseEmphasis">
    <w:name w:val="Intense Emphasis"/>
    <w:basedOn w:val="DefaultParagraphFont"/>
    <w:uiPriority w:val="21"/>
    <w:qFormat/>
    <w:rsid w:val="009F3F0C"/>
    <w:rPr>
      <w:i/>
      <w:iCs/>
      <w:color w:val="0F4761" w:themeColor="accent1" w:themeShade="BF"/>
    </w:rPr>
  </w:style>
  <w:style w:type="paragraph" w:styleId="IntenseQuote">
    <w:name w:val="Intense Quote"/>
    <w:basedOn w:val="Normal"/>
    <w:next w:val="Normal"/>
    <w:link w:val="IntenseQuoteChar"/>
    <w:uiPriority w:val="30"/>
    <w:qFormat/>
    <w:rsid w:val="009F3F0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3F0C"/>
    <w:rPr>
      <w:i/>
      <w:iCs/>
      <w:color w:val="0F4761" w:themeColor="accent1" w:themeShade="BF"/>
    </w:rPr>
  </w:style>
  <w:style w:type="character" w:styleId="IntenseReference">
    <w:name w:val="Intense Reference"/>
    <w:basedOn w:val="DefaultParagraphFont"/>
    <w:uiPriority w:val="32"/>
    <w:qFormat/>
    <w:rsid w:val="009F3F0C"/>
    <w:rPr>
      <w:b/>
      <w:bCs/>
      <w:smallCaps/>
      <w:color w:val="0F4761" w:themeColor="accent1" w:themeShade="BF"/>
      <w:spacing w:val="5"/>
    </w:rPr>
  </w:style>
  <w:style w:type="table" w:styleId="TableGrid">
    <w:name w:val="Table Grid"/>
    <w:basedOn w:val="TableNormal"/>
    <w:uiPriority w:val="39"/>
    <w:rsid w:val="00254B7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254B7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4B7C"/>
  </w:style>
  <w:style w:type="paragraph" w:styleId="Footer">
    <w:name w:val="footer"/>
    <w:basedOn w:val="Normal"/>
    <w:link w:val="FooterChar"/>
    <w:uiPriority w:val="99"/>
    <w:unhideWhenUsed/>
    <w:rsid w:val="00254B7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4B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59FEEF42A78429520649A63060B14" ma:contentTypeVersion="19" ma:contentTypeDescription="Create a new document." ma:contentTypeScope="" ma:versionID="e78f9b542fba39b6e82708b3f80bf4c6">
  <xsd:schema xmlns:xsd="http://www.w3.org/2001/XMLSchema" xmlns:xs="http://www.w3.org/2001/XMLSchema" xmlns:p="http://schemas.microsoft.com/office/2006/metadata/properties" xmlns:ns2="2ba6f65b-45ad-408b-83e6-d603171ffd47" xmlns:ns3="aa371740-c99b-4a91-8553-2ee9ea91d2f9" targetNamespace="http://schemas.microsoft.com/office/2006/metadata/properties" ma:root="true" ma:fieldsID="a213c85c5ece699548a131609be4d096" ns2:_="" ns3:_="">
    <xsd:import namespace="2ba6f65b-45ad-408b-83e6-d603171ffd47"/>
    <xsd:import namespace="aa371740-c99b-4a91-8553-2ee9ea91d2f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6f65b-45ad-408b-83e6-d603171ff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958d33-1e35-44f4-8060-d3a64c1821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1740-c99b-4a91-8553-2ee9ea91d2f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518eb5-7507-4511-99de-331f486cbb3f}" ma:internalName="TaxCatchAll" ma:showField="CatchAllData" ma:web="aa371740-c99b-4a91-8553-2ee9ea91d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a6f65b-45ad-408b-83e6-d603171ffd47">
      <Terms xmlns="http://schemas.microsoft.com/office/infopath/2007/PartnerControls"/>
    </lcf76f155ced4ddcb4097134ff3c332f>
    <TaxCatchAll xmlns="aa371740-c99b-4a91-8553-2ee9ea91d2f9" xsi:nil="true"/>
  </documentManagement>
</p:properties>
</file>

<file path=customXml/itemProps1.xml><?xml version="1.0" encoding="utf-8"?>
<ds:datastoreItem xmlns:ds="http://schemas.openxmlformats.org/officeDocument/2006/customXml" ds:itemID="{6960A95B-164E-4BEE-A398-0AA33FDE9D15}"/>
</file>

<file path=customXml/itemProps2.xml><?xml version="1.0" encoding="utf-8"?>
<ds:datastoreItem xmlns:ds="http://schemas.openxmlformats.org/officeDocument/2006/customXml" ds:itemID="{85AD7524-EA85-4D6B-8BEF-C62ED78C83F5}"/>
</file>

<file path=customXml/itemProps3.xml><?xml version="1.0" encoding="utf-8"?>
<ds:datastoreItem xmlns:ds="http://schemas.openxmlformats.org/officeDocument/2006/customXml" ds:itemID="{8AA832CE-C485-4115-B935-9164F1D622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Hall</dc:creator>
  <cp:keywords/>
  <dc:description/>
  <cp:lastModifiedBy>Matt Hall</cp:lastModifiedBy>
  <cp:revision>5</cp:revision>
  <cp:lastPrinted>2026-04-20T12:56:00Z</cp:lastPrinted>
  <dcterms:created xsi:type="dcterms:W3CDTF">2026-04-20T12:04:00Z</dcterms:created>
  <dcterms:modified xsi:type="dcterms:W3CDTF">2026-04-22T11:14:21Z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0x0101006B259FEEF42A78429520649A63060B14</vt:lpwstr>
  </property>
  <property fmtid="{D5CDD505-2E9C-101B-9397-08002B2CF9AE}" pid="3" name="MediaServiceImageTags">
    <vt:lpwstr/>
  </property>
</Properties>
</file>